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21"/>
        <w:gridCol w:w="1148"/>
        <w:gridCol w:w="1950"/>
      </w:tblGrid>
      <w:tr w:rsidR="00847648" w:rsidRPr="003C2ACF" w:rsidTr="00F37ABC">
        <w:trPr>
          <w:cantSplit/>
          <w:jc w:val="center"/>
        </w:trPr>
        <w:tc>
          <w:tcPr>
            <w:tcW w:w="9288" w:type="dxa"/>
            <w:gridSpan w:val="4"/>
          </w:tcPr>
          <w:p w:rsidR="00847648" w:rsidRPr="005E0838" w:rsidRDefault="00847648" w:rsidP="00F37ABC">
            <w:pPr>
              <w:pStyle w:val="10"/>
              <w:keepNext w:val="0"/>
            </w:pPr>
            <w:r w:rsidRPr="005E0838">
              <w:t xml:space="preserve">ТЕРРИТОРИАЛЬНАЯ ИЗБИРАТЕЛЬНАЯ КОМИССИЯ </w:t>
            </w:r>
          </w:p>
          <w:p w:rsidR="00847648" w:rsidRPr="005E0838" w:rsidRDefault="00847648" w:rsidP="00F37ABC">
            <w:pPr>
              <w:pStyle w:val="10"/>
              <w:keepNext w:val="0"/>
            </w:pPr>
            <w:r w:rsidRPr="005E0838">
              <w:t>ЧЕРНСКОГО РАЙОНА ТУЛЬСКОЙ ОБЛАСТИ</w:t>
            </w:r>
          </w:p>
          <w:p w:rsidR="00847648" w:rsidRPr="005E0838" w:rsidRDefault="00847648" w:rsidP="00F37ABC">
            <w:pPr>
              <w:pStyle w:val="10"/>
              <w:keepNext w:val="0"/>
            </w:pPr>
          </w:p>
          <w:p w:rsidR="00847648" w:rsidRPr="005E0838" w:rsidRDefault="00847648" w:rsidP="00F37ABC">
            <w:pPr>
              <w:pStyle w:val="10"/>
              <w:keepNext w:val="0"/>
            </w:pPr>
            <w:r w:rsidRPr="005E0838">
              <w:rPr>
                <w:spacing w:val="60"/>
              </w:rPr>
              <w:t>ПОСТАНОВЛЕНИЕ</w:t>
            </w:r>
          </w:p>
          <w:p w:rsidR="00847648" w:rsidRPr="003C2ACF" w:rsidRDefault="00847648" w:rsidP="00F3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648" w:rsidRPr="00EA776F" w:rsidTr="00F37ABC">
        <w:trPr>
          <w:cantSplit/>
          <w:jc w:val="center"/>
        </w:trPr>
        <w:tc>
          <w:tcPr>
            <w:tcW w:w="3369" w:type="dxa"/>
            <w:vAlign w:val="center"/>
          </w:tcPr>
          <w:p w:rsidR="00847648" w:rsidRPr="005E0838" w:rsidRDefault="00847648" w:rsidP="00F37A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</w:t>
            </w:r>
            <w:r>
              <w:rPr>
                <w:b/>
                <w:sz w:val="28"/>
              </w:rPr>
              <w:t xml:space="preserve"> июня 2023</w:t>
            </w:r>
            <w:r w:rsidRPr="005E0838">
              <w:rPr>
                <w:b/>
                <w:sz w:val="28"/>
              </w:rPr>
              <w:t xml:space="preserve"> года</w:t>
            </w:r>
          </w:p>
        </w:tc>
        <w:tc>
          <w:tcPr>
            <w:tcW w:w="2821" w:type="dxa"/>
          </w:tcPr>
          <w:p w:rsidR="00847648" w:rsidRPr="00E91C79" w:rsidRDefault="00847648" w:rsidP="00F37ABC">
            <w:pPr>
              <w:jc w:val="center"/>
              <w:rPr>
                <w:b/>
              </w:rPr>
            </w:pPr>
          </w:p>
          <w:p w:rsidR="00847648" w:rsidRPr="00E91C79" w:rsidRDefault="00847648" w:rsidP="00F37ABC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847648" w:rsidRPr="005E0838" w:rsidRDefault="00847648" w:rsidP="00F37ABC">
            <w:pPr>
              <w:jc w:val="right"/>
              <w:rPr>
                <w:b/>
                <w:bCs/>
              </w:rPr>
            </w:pPr>
            <w:r w:rsidRPr="005E0838">
              <w:rPr>
                <w:b/>
                <w:bCs/>
                <w:sz w:val="28"/>
              </w:rPr>
              <w:t>№</w:t>
            </w:r>
          </w:p>
        </w:tc>
        <w:tc>
          <w:tcPr>
            <w:tcW w:w="1950" w:type="dxa"/>
            <w:vAlign w:val="center"/>
          </w:tcPr>
          <w:p w:rsidR="00847648" w:rsidRPr="00847648" w:rsidRDefault="00847648" w:rsidP="00847648">
            <w:pPr>
              <w:pStyle w:val="ac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22-</w:t>
            </w:r>
            <w:r>
              <w:rPr>
                <w:b/>
                <w:bCs/>
                <w:sz w:val="28"/>
              </w:rPr>
              <w:t>1</w:t>
            </w:r>
          </w:p>
        </w:tc>
      </w:tr>
    </w:tbl>
    <w:p w:rsidR="00847648" w:rsidRDefault="00847648">
      <w:pPr>
        <w:pStyle w:val="10"/>
      </w:pPr>
    </w:p>
    <w:p w:rsidR="00E04700" w:rsidRDefault="00847648">
      <w:pPr>
        <w:pStyle w:val="10"/>
      </w:pPr>
      <w:r>
        <w:t>О возложении полномочий окружных избирательных комиссий</w:t>
      </w:r>
    </w:p>
    <w:p w:rsidR="00E04700" w:rsidRDefault="00847648" w:rsidP="00847648">
      <w:pPr>
        <w:pStyle w:val="10"/>
      </w:pPr>
      <w:r>
        <w:t xml:space="preserve">на выборах </w:t>
      </w:r>
      <w:r w:rsidRPr="00C75DC7">
        <w:rPr>
          <w:bCs/>
        </w:rPr>
        <w:t xml:space="preserve">депутатов Собрания депутатов муниципального образования </w:t>
      </w:r>
      <w:r w:rsidRPr="00847648">
        <w:rPr>
          <w:bCs/>
        </w:rPr>
        <w:t xml:space="preserve">рабочий поселок Чернь </w:t>
      </w:r>
      <w:proofErr w:type="spellStart"/>
      <w:r w:rsidRPr="00847648">
        <w:rPr>
          <w:bCs/>
        </w:rPr>
        <w:t>Чернского</w:t>
      </w:r>
      <w:proofErr w:type="spellEnd"/>
      <w:r w:rsidRPr="00847648">
        <w:rPr>
          <w:bCs/>
        </w:rPr>
        <w:t xml:space="preserve"> района</w:t>
      </w:r>
      <w:r w:rsidRPr="00C75DC7">
        <w:rPr>
          <w:bCs/>
        </w:rPr>
        <w:t xml:space="preserve"> </w:t>
      </w:r>
      <w:r w:rsidRPr="00847648">
        <w:rPr>
          <w:bCs/>
        </w:rPr>
        <w:t>пятого</w:t>
      </w:r>
      <w:r w:rsidRPr="00C75DC7">
        <w:rPr>
          <w:bCs/>
        </w:rPr>
        <w:t xml:space="preserve"> созыва, депутатов Собрания депутатов муниципального образования </w:t>
      </w:r>
      <w:proofErr w:type="spellStart"/>
      <w:r w:rsidRPr="00847648">
        <w:rPr>
          <w:bCs/>
        </w:rPr>
        <w:t>Липицкое</w:t>
      </w:r>
      <w:proofErr w:type="spellEnd"/>
      <w:r w:rsidRPr="00847648">
        <w:rPr>
          <w:bCs/>
        </w:rPr>
        <w:t xml:space="preserve"> </w:t>
      </w:r>
      <w:proofErr w:type="spellStart"/>
      <w:r w:rsidRPr="00847648">
        <w:rPr>
          <w:bCs/>
        </w:rPr>
        <w:t>Чернского</w:t>
      </w:r>
      <w:proofErr w:type="spellEnd"/>
      <w:r w:rsidRPr="00C75DC7">
        <w:rPr>
          <w:bCs/>
        </w:rPr>
        <w:t xml:space="preserve"> района </w:t>
      </w:r>
      <w:r w:rsidRPr="00847648">
        <w:rPr>
          <w:bCs/>
        </w:rPr>
        <w:t xml:space="preserve">третьего </w:t>
      </w:r>
      <w:r w:rsidRPr="00C75DC7">
        <w:rPr>
          <w:bCs/>
        </w:rPr>
        <w:t xml:space="preserve">созыва, депутатов Собрания депутатов муниципального образования </w:t>
      </w:r>
      <w:r w:rsidRPr="00847648">
        <w:rPr>
          <w:bCs/>
        </w:rPr>
        <w:t xml:space="preserve">Северное </w:t>
      </w:r>
      <w:proofErr w:type="spellStart"/>
      <w:r w:rsidRPr="00847648">
        <w:rPr>
          <w:bCs/>
        </w:rPr>
        <w:t>Чернского</w:t>
      </w:r>
      <w:proofErr w:type="spellEnd"/>
      <w:r w:rsidRPr="00C75DC7">
        <w:rPr>
          <w:bCs/>
        </w:rPr>
        <w:t xml:space="preserve"> </w:t>
      </w:r>
      <w:r w:rsidRPr="00847648">
        <w:rPr>
          <w:bCs/>
        </w:rPr>
        <w:t>района третьего</w:t>
      </w:r>
      <w:r>
        <w:rPr>
          <w:b w:val="0"/>
          <w:bCs/>
        </w:rPr>
        <w:t xml:space="preserve"> </w:t>
      </w:r>
      <w:r w:rsidRPr="00C75DC7">
        <w:rPr>
          <w:bCs/>
        </w:rPr>
        <w:t>созыва</w:t>
      </w:r>
      <w:r>
        <w:rPr>
          <w:b w:val="0"/>
          <w:bCs/>
        </w:rPr>
        <w:t xml:space="preserve">, </w:t>
      </w:r>
      <w:r w:rsidRPr="00C75DC7">
        <w:rPr>
          <w:bCs/>
        </w:rPr>
        <w:t xml:space="preserve">депутатов Собрания депутатов муниципального образования </w:t>
      </w:r>
      <w:r w:rsidRPr="00847648">
        <w:rPr>
          <w:bCs/>
        </w:rPr>
        <w:t xml:space="preserve">Тургеневское </w:t>
      </w:r>
      <w:proofErr w:type="spellStart"/>
      <w:r w:rsidRPr="00847648">
        <w:rPr>
          <w:bCs/>
        </w:rPr>
        <w:t>Чернского</w:t>
      </w:r>
      <w:proofErr w:type="spellEnd"/>
      <w:r w:rsidRPr="00C75DC7">
        <w:rPr>
          <w:bCs/>
        </w:rPr>
        <w:t xml:space="preserve"> района </w:t>
      </w:r>
      <w:r w:rsidRPr="00847648">
        <w:rPr>
          <w:bCs/>
        </w:rPr>
        <w:t>третьего</w:t>
      </w:r>
      <w:r>
        <w:rPr>
          <w:b w:val="0"/>
          <w:bCs/>
        </w:rPr>
        <w:t xml:space="preserve"> </w:t>
      </w:r>
      <w:r w:rsidRPr="00C75DC7">
        <w:rPr>
          <w:bCs/>
        </w:rPr>
        <w:t>созыва</w:t>
      </w:r>
    </w:p>
    <w:p w:rsidR="00E04700" w:rsidRDefault="00E04700">
      <w:pPr>
        <w:ind w:firstLine="720"/>
        <w:jc w:val="both"/>
        <w:rPr>
          <w:sz w:val="28"/>
        </w:rPr>
      </w:pPr>
    </w:p>
    <w:p w:rsidR="00E04700" w:rsidRDefault="00847648">
      <w:pPr>
        <w:pStyle w:val="a3"/>
        <w:spacing w:line="360" w:lineRule="auto"/>
      </w:pPr>
      <w:r>
        <w:t xml:space="preserve">В связи с назначением выборов </w:t>
      </w:r>
      <w:r w:rsidRPr="00847648">
        <w:rPr>
          <w:bCs/>
        </w:rPr>
        <w:t xml:space="preserve">депутатов Собрания депутатов муниципального образования рабочий поселок Чернь </w:t>
      </w:r>
      <w:proofErr w:type="spellStart"/>
      <w:r w:rsidRPr="00847648">
        <w:rPr>
          <w:bCs/>
        </w:rPr>
        <w:t>Чернского</w:t>
      </w:r>
      <w:proofErr w:type="spellEnd"/>
      <w:r w:rsidRPr="00847648">
        <w:rPr>
          <w:bCs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Pr="00847648">
        <w:rPr>
          <w:bCs/>
        </w:rPr>
        <w:t>Липицкое</w:t>
      </w:r>
      <w:proofErr w:type="spellEnd"/>
      <w:r w:rsidRPr="00847648">
        <w:rPr>
          <w:bCs/>
        </w:rPr>
        <w:t xml:space="preserve"> </w:t>
      </w:r>
      <w:proofErr w:type="spellStart"/>
      <w:r w:rsidRPr="00847648">
        <w:rPr>
          <w:bCs/>
        </w:rPr>
        <w:t>Чернского</w:t>
      </w:r>
      <w:proofErr w:type="spellEnd"/>
      <w:r w:rsidRPr="00847648">
        <w:rPr>
          <w:bCs/>
        </w:rPr>
        <w:t xml:space="preserve"> района третьего созыва, депутатов Собрания депутатов муниципального образования Северное </w:t>
      </w:r>
      <w:proofErr w:type="spellStart"/>
      <w:r w:rsidRPr="00847648">
        <w:rPr>
          <w:bCs/>
        </w:rPr>
        <w:t>Чернского</w:t>
      </w:r>
      <w:proofErr w:type="spellEnd"/>
      <w:r w:rsidRPr="00847648">
        <w:rPr>
          <w:bCs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Pr="00847648">
        <w:rPr>
          <w:bCs/>
        </w:rPr>
        <w:t>Чернского</w:t>
      </w:r>
      <w:proofErr w:type="spellEnd"/>
      <w:r w:rsidRPr="00847648">
        <w:rPr>
          <w:bCs/>
        </w:rPr>
        <w:t xml:space="preserve"> района третьего созыва</w:t>
      </w:r>
      <w:r>
        <w:rPr>
          <w:bCs/>
        </w:rPr>
        <w:t>,</w:t>
      </w:r>
      <w:r w:rsidRPr="00847648">
        <w:t xml:space="preserve"> </w:t>
      </w:r>
      <w:r>
        <w:t xml:space="preserve">руководствуясь пунктом 9 статьи 20, пунктом 1 статьи 25,  пунктом 9.1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26, частью 2 статьи 27 Закона Тульской области от 02.04.2007 № 815-ЗТО «Об избирательных комиссиях и комиссиях референдума в Тульской области», статьей 6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постановлением избирательной комиссии Тульской области от 22 апреля 2022 года №5-14 « Об исполнении полномочий по подготовке и проведению выборов в органы </w:t>
      </w:r>
      <w:r>
        <w:lastRenderedPageBreak/>
        <w:t xml:space="preserve">местного самоуправления, местного референдума»,  территориальная избирательная комиссия </w:t>
      </w:r>
      <w:proofErr w:type="spellStart"/>
      <w:r>
        <w:t>Чернского</w:t>
      </w:r>
      <w:proofErr w:type="spellEnd"/>
      <w:r>
        <w:t xml:space="preserve"> района Тульской области, осуществляющая полномочия по подготовке и проведению выборов в органы местного самоуправления, </w:t>
      </w:r>
      <w:r>
        <w:rPr>
          <w:b/>
        </w:rPr>
        <w:t>ПОСТАНОВЛЯЕТ:</w:t>
      </w:r>
    </w:p>
    <w:p w:rsidR="00E04700" w:rsidRDefault="00847648">
      <w:pPr>
        <w:pStyle w:val="a3"/>
        <w:spacing w:line="360" w:lineRule="auto"/>
        <w:ind w:firstLine="851"/>
      </w:pPr>
      <w:r>
        <w:t xml:space="preserve"> 1.Полномочия окружных избирательных комиссий по подготовке и проведению выборов депутатов Собрания депутатов муниципального образования рабочий поселок Чернь </w:t>
      </w:r>
      <w:proofErr w:type="spellStart"/>
      <w:r>
        <w:t>Чернского</w:t>
      </w:r>
      <w:proofErr w:type="spellEnd"/>
      <w:r>
        <w:t xml:space="preserve"> района пятого созыва по </w:t>
      </w:r>
      <w:proofErr w:type="spellStart"/>
      <w:r>
        <w:t>Чернскому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 1, </w:t>
      </w:r>
      <w:proofErr w:type="spellStart"/>
      <w:r>
        <w:t>Чернскому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 2, назначенных на 10 сентября 2023 года, возложить на территориальную избирательную комиссию </w:t>
      </w:r>
      <w:proofErr w:type="spellStart"/>
      <w:r>
        <w:t>Чернского</w:t>
      </w:r>
      <w:proofErr w:type="spellEnd"/>
      <w:r>
        <w:t xml:space="preserve"> района Тульской области.</w:t>
      </w:r>
    </w:p>
    <w:p w:rsidR="00E04700" w:rsidRDefault="00847648">
      <w:pPr>
        <w:pStyle w:val="a3"/>
        <w:spacing w:line="360" w:lineRule="auto"/>
        <w:ind w:firstLine="851"/>
      </w:pPr>
      <w:r>
        <w:t xml:space="preserve">2. Полномочия окружных избирательных комиссий по подготовке и проведению выборов депутатов Собрания депутатов муниципального образования </w:t>
      </w:r>
      <w:proofErr w:type="spellStart"/>
      <w:r>
        <w:t>Липицкое</w:t>
      </w:r>
      <w:proofErr w:type="spellEnd"/>
      <w:r>
        <w:t xml:space="preserve"> </w:t>
      </w:r>
      <w:proofErr w:type="spellStart"/>
      <w:r>
        <w:t>Чернского</w:t>
      </w:r>
      <w:proofErr w:type="spellEnd"/>
      <w:r>
        <w:t xml:space="preserve"> района третьего созыва по </w:t>
      </w:r>
      <w:proofErr w:type="spellStart"/>
      <w:proofErr w:type="gramStart"/>
      <w:r>
        <w:t>Липицкому</w:t>
      </w:r>
      <w:proofErr w:type="spellEnd"/>
      <w:r>
        <w:t xml:space="preserve">  </w:t>
      </w:r>
      <w:proofErr w:type="spellStart"/>
      <w:r>
        <w:t>пятимандатному</w:t>
      </w:r>
      <w:proofErr w:type="spellEnd"/>
      <w:proofErr w:type="gramEnd"/>
      <w:r>
        <w:t xml:space="preserve"> избирательному округу № 1 и </w:t>
      </w:r>
      <w:proofErr w:type="spellStart"/>
      <w:r>
        <w:t>Липицкому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 2, назначенных на 10 сентября 2023 года, возложить на территориальную избирательную комиссию </w:t>
      </w:r>
      <w:proofErr w:type="spellStart"/>
      <w:r>
        <w:t>Чернского</w:t>
      </w:r>
      <w:proofErr w:type="spellEnd"/>
      <w:r>
        <w:t xml:space="preserve"> района Тульской области.</w:t>
      </w:r>
    </w:p>
    <w:p w:rsidR="00E04700" w:rsidRDefault="00847648">
      <w:pPr>
        <w:pStyle w:val="a3"/>
        <w:spacing w:line="360" w:lineRule="auto"/>
        <w:ind w:firstLine="851"/>
      </w:pPr>
      <w:r>
        <w:t xml:space="preserve">3. Полномочия окружных избирательных комиссий по подготовке и проведению выборов депутатов Собрания депутатов муниципального образования Северное </w:t>
      </w:r>
      <w:proofErr w:type="spellStart"/>
      <w:r>
        <w:t>Чернского</w:t>
      </w:r>
      <w:proofErr w:type="spellEnd"/>
      <w:r>
        <w:t xml:space="preserve"> района </w:t>
      </w:r>
      <w:r w:rsidR="00D85390">
        <w:t>третьего</w:t>
      </w:r>
      <w:r>
        <w:t xml:space="preserve"> созыва по Северному </w:t>
      </w:r>
      <w:proofErr w:type="spellStart"/>
      <w:r>
        <w:t>четырехмандатному</w:t>
      </w:r>
      <w:proofErr w:type="spellEnd"/>
      <w:r>
        <w:t xml:space="preserve"> избирательному округу № 1, Северному </w:t>
      </w:r>
      <w:proofErr w:type="spellStart"/>
      <w:r>
        <w:t>трехмандатному</w:t>
      </w:r>
      <w:proofErr w:type="spellEnd"/>
      <w:r>
        <w:t xml:space="preserve"> избирательному округу № 2, Северному </w:t>
      </w:r>
      <w:proofErr w:type="spellStart"/>
      <w:r>
        <w:t>трехмандатному</w:t>
      </w:r>
      <w:proofErr w:type="spellEnd"/>
      <w:r>
        <w:t xml:space="preserve"> избирательному округу № 3, назначенных на 10 сентября 2023 года, возложить на территориальную избирательную комиссию </w:t>
      </w:r>
      <w:proofErr w:type="spellStart"/>
      <w:r>
        <w:t>Чернского</w:t>
      </w:r>
      <w:proofErr w:type="spellEnd"/>
      <w:r>
        <w:t xml:space="preserve"> района Тульской области.</w:t>
      </w:r>
    </w:p>
    <w:p w:rsidR="00E04700" w:rsidRDefault="00847648">
      <w:pPr>
        <w:pStyle w:val="a3"/>
        <w:spacing w:line="360" w:lineRule="auto"/>
        <w:ind w:firstLine="851"/>
      </w:pPr>
      <w:r>
        <w:t xml:space="preserve">4. Полномочия окружных избирательных комиссий по подготовке и проведению выборов депутатов Собрания депутатов муниципального образования Тургеневское </w:t>
      </w:r>
      <w:proofErr w:type="spellStart"/>
      <w:r>
        <w:t>Чернского</w:t>
      </w:r>
      <w:proofErr w:type="spellEnd"/>
      <w:r>
        <w:t xml:space="preserve"> района </w:t>
      </w:r>
      <w:r w:rsidR="00D85390">
        <w:t>третьего</w:t>
      </w:r>
      <w:bookmarkStart w:id="0" w:name="_GoBack"/>
      <w:bookmarkEnd w:id="0"/>
      <w:r>
        <w:t xml:space="preserve"> созыва по </w:t>
      </w:r>
      <w:r>
        <w:lastRenderedPageBreak/>
        <w:t xml:space="preserve">Тургеневскому </w:t>
      </w:r>
      <w:proofErr w:type="spellStart"/>
      <w:r>
        <w:t>шестимандатному</w:t>
      </w:r>
      <w:proofErr w:type="spellEnd"/>
      <w:r>
        <w:t xml:space="preserve"> избирательному округу № 1 и Тургеневскому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 2, назначенных на 10 сентября 2023 года, возложить на территориальную избирательную комиссию </w:t>
      </w:r>
      <w:proofErr w:type="spellStart"/>
      <w:r>
        <w:t>Чернского</w:t>
      </w:r>
      <w:proofErr w:type="spellEnd"/>
      <w:r>
        <w:t xml:space="preserve"> района Тульской области.</w:t>
      </w:r>
    </w:p>
    <w:p w:rsidR="00E04700" w:rsidRDefault="00847648">
      <w:pPr>
        <w:pStyle w:val="a3"/>
        <w:spacing w:line="360" w:lineRule="auto"/>
      </w:pPr>
      <w:r>
        <w:t xml:space="preserve">2. Опубликовать настоящее постановление в газете «Заря. </w:t>
      </w:r>
      <w:proofErr w:type="spellStart"/>
      <w:r>
        <w:t>Чернский</w:t>
      </w:r>
      <w:proofErr w:type="spellEnd"/>
      <w:r>
        <w:t xml:space="preserve"> район» и на сайте муниципального образования </w:t>
      </w:r>
      <w:proofErr w:type="spellStart"/>
      <w:r w:rsidR="00691F71">
        <w:t>Чернский</w:t>
      </w:r>
      <w:proofErr w:type="spellEnd"/>
      <w:r>
        <w:t xml:space="preserve"> район </w:t>
      </w:r>
      <w:r w:rsidRPr="00847648">
        <w:t>https://chernskij-r71.gosweb.gosuslugi.ru/</w:t>
      </w:r>
      <w: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5"/>
        <w:gridCol w:w="3320"/>
      </w:tblGrid>
      <w:tr w:rsidR="00E04700">
        <w:tc>
          <w:tcPr>
            <w:tcW w:w="5685" w:type="dxa"/>
          </w:tcPr>
          <w:p w:rsidR="00E04700" w:rsidRDefault="00E04700">
            <w:pPr>
              <w:rPr>
                <w:b/>
                <w:sz w:val="28"/>
              </w:rPr>
            </w:pPr>
          </w:p>
          <w:p w:rsidR="00691F71" w:rsidRDefault="00691F71">
            <w:pPr>
              <w:rPr>
                <w:b/>
                <w:sz w:val="28"/>
              </w:rPr>
            </w:pPr>
          </w:p>
          <w:p w:rsidR="00E04700" w:rsidRDefault="008476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комиссии </w:t>
            </w:r>
          </w:p>
        </w:tc>
        <w:tc>
          <w:tcPr>
            <w:tcW w:w="3320" w:type="dxa"/>
          </w:tcPr>
          <w:p w:rsidR="00E04700" w:rsidRDefault="0084764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BE2ABA" w:rsidRDefault="00BE2ABA" w:rsidP="00847648">
            <w:pPr>
              <w:jc w:val="right"/>
              <w:rPr>
                <w:b/>
                <w:sz w:val="28"/>
              </w:rPr>
            </w:pPr>
          </w:p>
          <w:p w:rsidR="00E04700" w:rsidRDefault="00847648" w:rsidP="0084764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Н.Н.  Новикова</w:t>
            </w:r>
          </w:p>
        </w:tc>
      </w:tr>
      <w:tr w:rsidR="00E04700">
        <w:tc>
          <w:tcPr>
            <w:tcW w:w="5685" w:type="dxa"/>
          </w:tcPr>
          <w:p w:rsidR="00E04700" w:rsidRDefault="00E04700">
            <w:pPr>
              <w:rPr>
                <w:b/>
                <w:sz w:val="28"/>
              </w:rPr>
            </w:pPr>
          </w:p>
          <w:p w:rsidR="00E04700" w:rsidRDefault="008476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Секретарь комиссии </w:t>
            </w:r>
          </w:p>
        </w:tc>
        <w:tc>
          <w:tcPr>
            <w:tcW w:w="3320" w:type="dxa"/>
          </w:tcPr>
          <w:p w:rsidR="00E04700" w:rsidRDefault="0084764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E04700" w:rsidRDefault="0084764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E04700" w:rsidRDefault="00E04700">
      <w:pPr>
        <w:ind w:firstLine="720"/>
        <w:jc w:val="both"/>
        <w:rPr>
          <w:sz w:val="28"/>
        </w:rPr>
      </w:pPr>
    </w:p>
    <w:sectPr w:rsidR="00E04700">
      <w:pgSz w:w="11906" w:h="16838"/>
      <w:pgMar w:top="1134" w:right="850" w:bottom="141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0"/>
    <w:rsid w:val="00691F71"/>
    <w:rsid w:val="00847648"/>
    <w:rsid w:val="00BE2ABA"/>
    <w:rsid w:val="00D85390"/>
    <w:rsid w:val="00E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8D1"/>
  <w15:docId w15:val="{AC66AEDE-E72A-4CCA-9407-E898CD87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23">
    <w:name w:val="Body Text Indent 2"/>
    <w:basedOn w:val="a"/>
    <w:link w:val="24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jc w:val="center"/>
    </w:pPr>
    <w:rPr>
      <w:b/>
    </w:rPr>
  </w:style>
  <w:style w:type="character" w:customStyle="1" w:styleId="a6">
    <w:name w:val="Основной текст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2"/>
    </w:rPr>
  </w:style>
  <w:style w:type="character" w:customStyle="1" w:styleId="ab">
    <w:name w:val="Заголовок Знак"/>
    <w:basedOn w:val="1"/>
    <w:link w:val="aa"/>
    <w:rPr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c">
    <w:name w:val="Таблица"/>
    <w:basedOn w:val="a"/>
    <w:rsid w:val="00847648"/>
    <w:rPr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E2A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Н.Н.</dc:creator>
  <cp:lastModifiedBy>Novikova</cp:lastModifiedBy>
  <cp:revision>6</cp:revision>
  <cp:lastPrinted>2023-06-21T08:02:00Z</cp:lastPrinted>
  <dcterms:created xsi:type="dcterms:W3CDTF">2023-06-21T07:56:00Z</dcterms:created>
  <dcterms:modified xsi:type="dcterms:W3CDTF">2023-06-26T11:33:00Z</dcterms:modified>
</cp:coreProperties>
</file>