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CC130C" w:rsidTr="00001D1F">
        <w:tc>
          <w:tcPr>
            <w:tcW w:w="9569" w:type="dxa"/>
            <w:gridSpan w:val="2"/>
          </w:tcPr>
          <w:p w:rsidR="00CC130C" w:rsidRPr="001F47B6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CC130C" w:rsidTr="00001D1F">
        <w:tc>
          <w:tcPr>
            <w:tcW w:w="9569" w:type="dxa"/>
            <w:gridSpan w:val="2"/>
          </w:tcPr>
          <w:p w:rsidR="00CC130C" w:rsidRPr="001F47B6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CC130C" w:rsidTr="00001D1F">
        <w:tc>
          <w:tcPr>
            <w:tcW w:w="9569" w:type="dxa"/>
            <w:gridSpan w:val="2"/>
          </w:tcPr>
          <w:p w:rsidR="00CC130C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CC130C" w:rsidRPr="00754461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CC130C" w:rsidRPr="00754461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CC130C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30C" w:rsidRDefault="00CC130C" w:rsidP="00001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30C" w:rsidTr="00001D1F">
        <w:tc>
          <w:tcPr>
            <w:tcW w:w="9569" w:type="dxa"/>
            <w:gridSpan w:val="2"/>
          </w:tcPr>
          <w:p w:rsidR="00CC130C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CC130C" w:rsidTr="00001D1F">
        <w:tc>
          <w:tcPr>
            <w:tcW w:w="9569" w:type="dxa"/>
            <w:gridSpan w:val="2"/>
          </w:tcPr>
          <w:p w:rsidR="00CC130C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30C" w:rsidTr="00001D1F">
        <w:tc>
          <w:tcPr>
            <w:tcW w:w="4784" w:type="dxa"/>
          </w:tcPr>
          <w:p w:rsidR="00CC130C" w:rsidRDefault="00CC130C" w:rsidP="00001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5" w:type="dxa"/>
          </w:tcPr>
          <w:p w:rsidR="00CC130C" w:rsidRDefault="00CC130C" w:rsidP="0000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7-25</w:t>
            </w:r>
          </w:p>
        </w:tc>
      </w:tr>
    </w:tbl>
    <w:p w:rsidR="00A9794E" w:rsidRDefault="00A9794E" w:rsidP="00A9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91" w:rsidRPr="003E4D91" w:rsidRDefault="003E4D91" w:rsidP="00A979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 утверждении Положения об оплате труда работников, замещающих должности, </w:t>
      </w:r>
      <w:r w:rsidR="008864C7">
        <w:rPr>
          <w:rFonts w:ascii="Times New Roman" w:hAnsi="Times New Roman" w:cs="Times New Roman"/>
          <w:b/>
          <w:sz w:val="32"/>
          <w:szCs w:val="28"/>
        </w:rPr>
        <w:t>не отнесенные к должностям муниципальной службы Администрации муниципального образо</w:t>
      </w:r>
      <w:r w:rsidR="00A9794E">
        <w:rPr>
          <w:rFonts w:ascii="Times New Roman" w:hAnsi="Times New Roman" w:cs="Times New Roman"/>
          <w:b/>
          <w:sz w:val="32"/>
          <w:szCs w:val="28"/>
        </w:rPr>
        <w:t>вания Липицкое Чернского района</w:t>
      </w:r>
    </w:p>
    <w:p w:rsidR="00610E7E" w:rsidRDefault="00610E7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8864C7" w:rsidP="00A9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  пунктом 8 части 10 статьи 35 Федерального закона от 06.10.2003 г. № 131-ФЗ «Об общих принципах организации местного самоуправления в </w:t>
      </w:r>
      <w:r w:rsidR="00552F5D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58F6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9794E" w:rsidRDefault="008864C7" w:rsidP="00A9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C7">
        <w:rPr>
          <w:rFonts w:ascii="Times New Roman" w:hAnsi="Times New Roman" w:cs="Times New Roman"/>
          <w:sz w:val="28"/>
          <w:szCs w:val="28"/>
        </w:rPr>
        <w:t>1.</w:t>
      </w:r>
      <w:r w:rsidR="00A9794E">
        <w:rPr>
          <w:rFonts w:ascii="Times New Roman" w:hAnsi="Times New Roman" w:cs="Times New Roman"/>
          <w:sz w:val="28"/>
          <w:szCs w:val="28"/>
        </w:rPr>
        <w:t xml:space="preserve"> Утвердить Положение об оплате труда работников, замещающих должности, не отнесенные к должностям муниципальной службы Администрации муниципального образования Липицкое Чернского района. (Приложение).</w:t>
      </w:r>
    </w:p>
    <w:p w:rsidR="00A9794E" w:rsidRDefault="00A9794E" w:rsidP="00A9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9794E" w:rsidRDefault="00A9794E" w:rsidP="00A9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Собрания депутатов муниципального образования Липицкое Чернского района от 30.03.2022 г. № 44-133 «Об утверждении Положения об оплате труда работников, замещающих должности, не отнесенные к должностям муниципальной службы Администрации муниципального образования Липицкое Чернского района»;</w:t>
      </w:r>
    </w:p>
    <w:p w:rsidR="00A9794E" w:rsidRDefault="00A9794E" w:rsidP="00A9794E">
      <w:pPr>
        <w:tabs>
          <w:tab w:val="left" w:pos="600"/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2) решение Собрания депутатов муниципального образования Липицкое Чернского района от 31.10.2023 г. № 2-9 «О внесении изменения в решение Собрания депутатов муниципального образования Липицкое Чернского района от 30.03.2022 года № 44-133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4E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работников, замещающих должности, не отнесенные к должностям муниципальной службы Администрации муниципального образования Липицкое Чернского района»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0E7E" w:rsidRDefault="00D33FDC" w:rsidP="00A9794E">
      <w:pPr>
        <w:tabs>
          <w:tab w:val="left" w:pos="600"/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92E" w:rsidRPr="00DA18DE">
        <w:rPr>
          <w:rFonts w:ascii="Times New Roman" w:hAnsi="Times New Roman" w:cs="Times New Roman"/>
          <w:sz w:val="28"/>
          <w:szCs w:val="28"/>
        </w:rPr>
        <w:t>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>ешение</w:t>
      </w:r>
      <w:r w:rsidR="00792BCB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A9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F355EF">
        <w:rPr>
          <w:rFonts w:ascii="Times New Roman" w:hAnsi="Times New Roman" w:cs="Times New Roman"/>
          <w:color w:val="00000A"/>
          <w:sz w:val="28"/>
          <w:szCs w:val="28"/>
        </w:rPr>
        <w:t xml:space="preserve"> и распространяется на правоотношения, возникшие с 01 апреля 2024 год</w:t>
      </w:r>
      <w:r w:rsidR="00D33FDC">
        <w:rPr>
          <w:rFonts w:ascii="Times New Roman" w:hAnsi="Times New Roman" w:cs="Times New Roman"/>
          <w:color w:val="00000A"/>
          <w:sz w:val="28"/>
          <w:szCs w:val="28"/>
        </w:rPr>
        <w:t>а.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2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48" w:rsidRDefault="00407848" w:rsidP="0040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30C" w:rsidRDefault="00CC130C" w:rsidP="00407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C130C" w:rsidRDefault="00CC130C" w:rsidP="00407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9794E" w:rsidRDefault="00A9794E" w:rsidP="00407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9794E" w:rsidRDefault="00A9794E" w:rsidP="00A9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</w:p>
    <w:p w:rsidR="00A9794E" w:rsidRDefault="00A9794E" w:rsidP="00A9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A9794E" w:rsidRDefault="00CC130C" w:rsidP="00A9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29.03.2024 г. № 7-25</w:t>
      </w:r>
    </w:p>
    <w:p w:rsidR="00A9794E" w:rsidRPr="00A9794E" w:rsidRDefault="00A9794E" w:rsidP="00A9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об оплате труда работников, замещающих должности, не отнесенные к д</w:t>
      </w:r>
      <w:r>
        <w:rPr>
          <w:rFonts w:ascii="Times New Roman" w:hAnsi="Times New Roman" w:cs="Times New Roman"/>
          <w:b/>
          <w:sz w:val="28"/>
          <w:szCs w:val="28"/>
        </w:rPr>
        <w:t>олжностям муниципальной службы А</w:t>
      </w:r>
      <w:r w:rsidRPr="00A9794E">
        <w:rPr>
          <w:rFonts w:ascii="Times New Roman" w:hAnsi="Times New Roman" w:cs="Times New Roman"/>
          <w:b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Липицкое </w:t>
      </w:r>
      <w:r w:rsidRPr="00A9794E">
        <w:rPr>
          <w:rFonts w:ascii="Times New Roman" w:hAnsi="Times New Roman" w:cs="Times New Roman"/>
          <w:b/>
          <w:sz w:val="28"/>
          <w:szCs w:val="28"/>
        </w:rPr>
        <w:t>Чернского района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работников, замещающих должности, не отнесенные к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94E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Липицкое </w:t>
      </w:r>
      <w:r w:rsidRPr="00A9794E">
        <w:rPr>
          <w:rFonts w:ascii="Times New Roman" w:hAnsi="Times New Roman" w:cs="Times New Roman"/>
          <w:sz w:val="28"/>
          <w:szCs w:val="28"/>
        </w:rPr>
        <w:t>Чернского района (далее – Положение, работник), разработано в соответствии со статьями 129, 135 Трудового кодекса Российской Федерации в целях упорядочения оплаты труда и обеспечения социальных гарантий немуниципальных служащих и включает в себя:</w:t>
      </w:r>
      <w:proofErr w:type="gramEnd"/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наименование должности и размер должностного оклада;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наименование и условия выплат стимулирующего характера;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наименование иных дополнительных выплат и условия их выплаты;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наименование и условия выплат компенсационного характера.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1.2. При работе на условиях неполного рабочего времени оплата труда работника производится пропорционально отработанному им времени.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2. Условия оплаты труда работников.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2.1. Заработная плата работника состоит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>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выплат стимулирующего характера;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выплат компенсационного характера;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иных дополнительных выплат.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2.2. Наименование должности работника и размер должностного оклада устанавливается согласно приложению 1,2 к данному Положению.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2.3.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сложность и напряжённость выполняемой работы;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премии за выполнение отдельных заданий.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2.4. К компенсационным выплатам относятся выплаты за работу в условиях, отклоняющихся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lastRenderedPageBreak/>
        <w:t xml:space="preserve">- выплаты за работу в выходные и праздничные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 xml:space="preserve"> нерабочие дни;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выплаты за работу за пределами нормальной продолжительности рабочего времени (сверхурочная работа);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выплаты за совмещение должностей, расширение зоны обслуживания, увеличения объема выполняемых работ.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2.5. К иным дополнительным выплатам относятся: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материальная помощь.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2.6. Оплата труда работника производится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Липицкое Чернского </w:t>
      </w:r>
      <w:r w:rsidRPr="00A9794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94E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работника, сформированного в соответствии с размерами должностных окладов, стимулирующих, компенсационных и иных дополнительных выплат, установленных настоящим Положением.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Повышение уровня оплаты труда работников, замещающих должности, не отнесенные к до</w:t>
      </w:r>
      <w:r>
        <w:rPr>
          <w:rFonts w:ascii="Times New Roman" w:hAnsi="Times New Roman" w:cs="Times New Roman"/>
          <w:sz w:val="28"/>
          <w:szCs w:val="28"/>
        </w:rPr>
        <w:t>лжностям муниципальной службы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в размерах и в сроки, </w:t>
      </w:r>
      <w:r w:rsidRPr="00A9794E">
        <w:rPr>
          <w:rFonts w:ascii="Times New Roman" w:hAnsi="Times New Roman" w:cs="Times New Roman"/>
          <w:sz w:val="28"/>
          <w:szCs w:val="28"/>
        </w:rPr>
        <w:t>предусмотренные для повышения оплат</w:t>
      </w:r>
      <w:r>
        <w:rPr>
          <w:rFonts w:ascii="Times New Roman" w:hAnsi="Times New Roman" w:cs="Times New Roman"/>
          <w:sz w:val="28"/>
          <w:szCs w:val="28"/>
        </w:rPr>
        <w:t>ы труда муниципальных служащих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  <w:proofErr w:type="gramEnd"/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3. Ежемесячная надбавка к должностному окладу за сложность, напряженность выполняемой работы.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сложность, напряженность выполняемой работы (далее – надбавка) работникам, замещающим должности, не отнесенные к должностям муниципальной службы (далее – работники), устанавливается с учетом сложности и напряженности служебной деятельности и специального режима работы.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3.2. Надбавка по конкретной должности работника устанавливается работодателем персонально распорядительным актом.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3.3. Основными критериями для установления размера надбавки к должностному окладу за выполняемую работу являются: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многосторонний характер выполняемых должностных обязанностей;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самостоятельность в работе, компетентность в принятии решений, проявлении инициативы.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3.4. Надбавка устанавливается дифференцированно до 130 процентов должностного оклада и выплачивается в пределах годового фонда оплаты труда.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3.5. Изменение размера надбавки производится работодателем при изменении степени сложности и напряженности служебной деятельности.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3.6. Надбавка выплачивается за истекший месяц, одновременно с выплатой заработной платы.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lastRenderedPageBreak/>
        <w:t>4. Ежемесячная надбавка к должностному окладу за выслугу лет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выслугу лет (далее – надбавка за выслугу лет) устанавливается от стажа работы, дающего право на получение надбавки за выслугу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4E">
        <w:rPr>
          <w:rFonts w:ascii="Times New Roman" w:hAnsi="Times New Roman" w:cs="Times New Roman"/>
          <w:sz w:val="28"/>
          <w:szCs w:val="28"/>
        </w:rPr>
        <w:t>в процентах от должностного клада в следующих размерах: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от 1 года до 5 лет – 10 процентов;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от 5 лет до 10 лет – 15 процентов;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от 10 лет до 15 лет – 20 процентов;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и свыше 15 лет – 30 процентов.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4.2. В стаж работы, дающий право на получение надбавки за выслугу лет, включаются периоды работы в органах местного самоуправления. В указанный стаж также могут включаться иные периоды работы, опыт и знания по которым необходимы для выполнения должностных обязанностей по замещаемой должности.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Включение в стаж иных периодов работы не более 5 лет производится распорядительным актом работодателя. Для предварительного рассмотрения вопросов распорядительным актом работодателя создаются соответствующие комиссии.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При наличии у работников на дату утверждения настоящего Положением большего стажа работы, дающего права на получение надбавки за выслугу лет, ему сохраняется ранее приобретенный стаж работы опыт и знания, по которым необходим для выполнения должностных обязанностей.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4.3. Стаж работы, дающий право на получение надбавки за выслугу лет, определяется комиссией по установлению стажа работникам, замещающим должности, не отнесенные к до</w:t>
      </w:r>
      <w:r>
        <w:rPr>
          <w:rFonts w:ascii="Times New Roman" w:hAnsi="Times New Roman" w:cs="Times New Roman"/>
          <w:sz w:val="28"/>
          <w:szCs w:val="28"/>
        </w:rPr>
        <w:t>лжностям муниципальной службы А</w:t>
      </w:r>
      <w:r w:rsidRPr="00A9794E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района, состав которой утвержда</w:t>
      </w:r>
      <w:r>
        <w:rPr>
          <w:rFonts w:ascii="Times New Roman" w:hAnsi="Times New Roman" w:cs="Times New Roman"/>
          <w:sz w:val="28"/>
          <w:szCs w:val="28"/>
        </w:rPr>
        <w:t>ется распоряжением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4.4.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4.5. Надбавка за выслугу лет выплачива</w:t>
      </w:r>
      <w:r>
        <w:rPr>
          <w:rFonts w:ascii="Times New Roman" w:hAnsi="Times New Roman" w:cs="Times New Roman"/>
          <w:sz w:val="28"/>
          <w:szCs w:val="28"/>
        </w:rPr>
        <w:t>ется на основании распоряжения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 в соответствии с решением комиссии по установлению стажа.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5. Ежемесячное денежное поощрение.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5.1. Ежемесячное денежное поощрение (далее – поощрение) в целях повышения заинтересованности работников в результатах профессиональной служебной детальности устанавливается дифференцированно с учетом: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добросовестного и качественного исполнения должностных обязанностей, предусмотренных должностными инструкциями и высоких личных профессиональных показателей;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своевременного выполнения распоряжений, приказов, указаний </w:t>
      </w:r>
      <w:r w:rsidRPr="00A9794E">
        <w:rPr>
          <w:rFonts w:ascii="Times New Roman" w:hAnsi="Times New Roman" w:cs="Times New Roman"/>
          <w:sz w:val="28"/>
          <w:szCs w:val="28"/>
        </w:rPr>
        <w:lastRenderedPageBreak/>
        <w:t>вышестоящих в порядке подчиненности руководителей;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поддержания квалификации на уровне, достаточном для исполнения должностных обязанностей;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соблюдения установленных правил внутреннего трудового распорядка;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соблюдения принципов служебного поведения;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соблюдения сроков исполнения документов, поставленных на контроль.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5.2. Поощрение по конкретной должности работника устанавливается работодателем персонально в размере до 350 процентов с учетом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предложений руководит</w:t>
      </w:r>
      <w:r>
        <w:rPr>
          <w:rFonts w:ascii="Times New Roman" w:hAnsi="Times New Roman" w:cs="Times New Roman"/>
          <w:sz w:val="28"/>
          <w:szCs w:val="28"/>
        </w:rPr>
        <w:t>елей структурных подразделений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Липицкое Чернского района </w:t>
      </w:r>
      <w:r w:rsidRPr="00A9794E">
        <w:rPr>
          <w:rFonts w:ascii="Times New Roman" w:hAnsi="Times New Roman" w:cs="Times New Roman"/>
          <w:sz w:val="28"/>
          <w:szCs w:val="28"/>
        </w:rPr>
        <w:t>в пределах годового фонда оплаты труда.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5.3. Изменения размера поощрения осуществляется работодателем с учетом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предложений руководит</w:t>
      </w:r>
      <w:r>
        <w:rPr>
          <w:rFonts w:ascii="Times New Roman" w:hAnsi="Times New Roman" w:cs="Times New Roman"/>
          <w:sz w:val="28"/>
          <w:szCs w:val="28"/>
        </w:rPr>
        <w:t>елей структурных подразделений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Липицкое Чернского района </w:t>
      </w:r>
      <w:r w:rsidRPr="00A9794E">
        <w:rPr>
          <w:rFonts w:ascii="Times New Roman" w:hAnsi="Times New Roman" w:cs="Times New Roman"/>
          <w:sz w:val="28"/>
          <w:szCs w:val="28"/>
        </w:rPr>
        <w:t>в зависимости от изменения эффективности и результативности служебной деятельности работника.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5.4. Размер премии работнику может быть снижен или отменен за конкретный месяц по следующим основаниям: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ненадлежащее и несвоевременное исполнение должностных обязанностей – до 100 %;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несоблюдение сроков исполнения документов, поставленных на контроль – до 100%;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некачественное и несвоевременное исполнение поручений, указаний, заданий в порядке подчиненности руководителей – до 100%;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 несоблюдения правил внутреннего трудового распорядка, правил техники безопасности и противопожарной безопасности, принципов служебного поведения – до 100%.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5.5. Если нарушения по основаниям, перечисленным в п.5.4 настоящего Положения, были выявлены после того, как премия была выплачена, виновные работники лишаются выплаты премии в том расчетном периоде, в котором были обнаружены нарушения или поступили сообщения о них.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Полное или частичное снижение преми</w:t>
      </w:r>
      <w:r>
        <w:rPr>
          <w:rFonts w:ascii="Times New Roman" w:hAnsi="Times New Roman" w:cs="Times New Roman"/>
          <w:sz w:val="28"/>
          <w:szCs w:val="28"/>
        </w:rPr>
        <w:t>и оформляется распоряжением А</w:t>
      </w:r>
      <w:r w:rsidRPr="00A9794E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Липицкое </w:t>
      </w:r>
      <w:r w:rsidRPr="00A9794E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нского района по решению главы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района, на основании служебной информации, пред</w:t>
      </w:r>
      <w:r>
        <w:rPr>
          <w:rFonts w:ascii="Times New Roman" w:hAnsi="Times New Roman" w:cs="Times New Roman"/>
          <w:sz w:val="28"/>
          <w:szCs w:val="28"/>
        </w:rPr>
        <w:t>ставленной заместителем главы Ад</w:t>
      </w:r>
      <w:r w:rsidRPr="00A9794E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района, руководителем структурного подразделения с указанием причин снижения, и производится за тот отчетный период, за который допущено то или иное нарушение, с учетом п. 5.5.</w:t>
      </w:r>
      <w:proofErr w:type="gramEnd"/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5.7. Изменение размера премии или ее невыплата производится с уведомлением работника путем ознакомления его под роспись с распорядительным документом.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5.8. Премия не выплачивается работнику, имеющему не снятое </w:t>
      </w:r>
      <w:r w:rsidRPr="00A9794E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5.9. Ра</w:t>
      </w:r>
      <w:r>
        <w:rPr>
          <w:rFonts w:ascii="Times New Roman" w:hAnsi="Times New Roman" w:cs="Times New Roman"/>
          <w:sz w:val="28"/>
          <w:szCs w:val="28"/>
        </w:rPr>
        <w:t>ботникам, совмещающим работу в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района, премия выплачивается только по основной должности.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Совместителям премия выплачивается на общих основаниях.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6. Премии за выполнение отдельных заданий.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6.1. Премия за выполнение отдельных заданий (далее – премия) является формой материального стимулирования работника в решение задач по реализации полномочий органов местного самоуправления.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Указанная премия может выплачиваться за задания, связанные с разработкой правовых актов, программ, итоговых отчетов, справок, информаций и др., участие в организации и проведении мероприятий городского, районного, областного уровней, а также другие задания, с обязательным качеством исполнения, проявленную при этом инициативу и творческий подход, оперативность и профессионализм.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6.2. Размер премии устанавливается работнику персонально в процентах к должностному окладу исходя из результатов деятельности работника, в пределах годового фонда оплаты труда.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6.3. При определении размера премии учитываются своевременность, качество, оперативность выполнения работников отельных заданий, проявленная при их выполнении инициатива, творческий подход и профессионализм.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6.4. Решение о премировании работника принимается руководителем по итогам выполнения отдельных заданий с учетом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предложений руководит</w:t>
      </w:r>
      <w:r>
        <w:rPr>
          <w:rFonts w:ascii="Times New Roman" w:hAnsi="Times New Roman" w:cs="Times New Roman"/>
          <w:sz w:val="28"/>
          <w:szCs w:val="28"/>
        </w:rPr>
        <w:t>елей структурных подразделений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Липицкое Чернского района </w:t>
      </w:r>
      <w:r w:rsidRPr="00A9794E">
        <w:rPr>
          <w:rFonts w:ascii="Times New Roman" w:hAnsi="Times New Roman" w:cs="Times New Roman"/>
          <w:sz w:val="28"/>
          <w:szCs w:val="28"/>
        </w:rPr>
        <w:t>на основании распорядительного документа.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 xml:space="preserve">7. Выплаты за работу в условиях, отклоняющихся </w:t>
      </w:r>
      <w:proofErr w:type="gramStart"/>
      <w:r w:rsidRPr="00A9794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9794E">
        <w:rPr>
          <w:rFonts w:ascii="Times New Roman" w:hAnsi="Times New Roman" w:cs="Times New Roman"/>
          <w:b/>
          <w:sz w:val="28"/>
          <w:szCs w:val="28"/>
        </w:rPr>
        <w:t xml:space="preserve"> нормальных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7.1. Работа в выходной или нерабочий праздничный день оплачивается не менее чем в двойном размере в соответствии со статьей 153 Трудового кодекса Российской Федерации.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7.2. Сверхурочная работа оплачивается за первые два часа работы не менее чем в полуторном размере, за последующие часы – не менее чем в двойном размере в соответствии со статьей 152 Трудового кодекса Российской Федерации.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7.3. При совмещении должностей, расширении зоны обслуживания, увеличении объема работ или исполнении обязанностей временно </w:t>
      </w:r>
      <w:r w:rsidRPr="00A9794E">
        <w:rPr>
          <w:rFonts w:ascii="Times New Roman" w:hAnsi="Times New Roman" w:cs="Times New Roman"/>
          <w:sz w:val="28"/>
          <w:szCs w:val="28"/>
        </w:rPr>
        <w:lastRenderedPageBreak/>
        <w:t>отсутствующего работника (отпуск, командировка, учебе, временная нетрудоспособность) размер доплаты устанавливается по соглашению сторон трудового договора с учетом содержания и объема дополнительной работы, но не ниже 50% должностного оклада по замещающей должности.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Срок выполнения дополнительной работы устанавливается со</w:t>
      </w:r>
      <w:r>
        <w:rPr>
          <w:rFonts w:ascii="Times New Roman" w:hAnsi="Times New Roman" w:cs="Times New Roman"/>
          <w:sz w:val="28"/>
          <w:szCs w:val="28"/>
        </w:rPr>
        <w:t xml:space="preserve">глашением сторон и отражается в </w:t>
      </w:r>
      <w:r w:rsidRPr="00A9794E">
        <w:rPr>
          <w:rFonts w:ascii="Times New Roman" w:hAnsi="Times New Roman" w:cs="Times New Roman"/>
          <w:sz w:val="28"/>
          <w:szCs w:val="28"/>
        </w:rPr>
        <w:t>дополнительном соглашении (трудовом договоре).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8. Единовременная выплата при предоставлении ежегодного оплачиваемог</w:t>
      </w:r>
      <w:r>
        <w:rPr>
          <w:rFonts w:ascii="Times New Roman" w:hAnsi="Times New Roman" w:cs="Times New Roman"/>
          <w:b/>
          <w:sz w:val="28"/>
          <w:szCs w:val="28"/>
        </w:rPr>
        <w:t>о отпуска и материальная помощь</w:t>
      </w:r>
    </w:p>
    <w:p w:rsid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8.1. Единовременная выплата при предоставлении ежегодного оплачиваемого отпуска: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8.1.1. При предоставлении работнику ежегодного оплачиваемого отпуска (части ежегодного оплачиваемого отпуска) по заявлению работника, подаваемому работодателю производиться один раз в год единовременная выплата в размере двух должностных окладов по замещаемой должности работника в пределах годового фонда оплаты труда.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8.1.2. Единовременная выплата не выплачивается работнику, получившему ее в текущем календарном году, уволенному и вновь принятому в том же календарном году в органы местного самоуправления.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8.1.3.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 xml:space="preserve">8.1.4.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ботникам, совмещающим работы в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района, единовременная выплата к ежегодному оплачиваемого отпуску выплачивается только по основной должности.</w:t>
      </w:r>
      <w:proofErr w:type="gramEnd"/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8.2. Материальная помощь.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8.2.1. В целях оказания социальной поддержки работнику на основании его заявления по решению работодателя выплачивается один раз в год материальная помощь в размере одного должностного оклада по замещаемой должности работника в пределах фонда оплаты тру</w:t>
      </w:r>
      <w:r>
        <w:rPr>
          <w:rFonts w:ascii="Times New Roman" w:hAnsi="Times New Roman" w:cs="Times New Roman"/>
          <w:sz w:val="28"/>
          <w:szCs w:val="28"/>
        </w:rPr>
        <w:t>да и оформляется распоряжением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8.2.2. В случае поступления работника на службу в течение календарного года материальная помощь выплачивается пропорционально фактически отработанному времени в текущем году.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8.2.3. В случае увольнении работника материальная помощь выплачивается пропорционально отработанному времени в текущем календарном году.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8.2.4. Материальная помощь не выплачивается работнику, получившему ее в текущем календарном году в полном размере, уволенному и вновь принятом в том же календарном году в органы самоуправления муниципального образования.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lastRenderedPageBreak/>
        <w:t xml:space="preserve">8.2.5.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ботникам, совмещающим работы в А</w:t>
      </w:r>
      <w:r w:rsidRPr="00A9794E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Липицкое</w:t>
      </w:r>
      <w:r w:rsidRPr="00A9794E">
        <w:rPr>
          <w:rFonts w:ascii="Times New Roman" w:hAnsi="Times New Roman" w:cs="Times New Roman"/>
          <w:sz w:val="28"/>
          <w:szCs w:val="28"/>
        </w:rPr>
        <w:t xml:space="preserve"> Чернского района материальная помощь выплачивается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 xml:space="preserve"> только по основной должности.</w:t>
      </w:r>
    </w:p>
    <w:p w:rsidR="00A9794E" w:rsidRDefault="00A9794E" w:rsidP="00A979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4E" w:rsidRPr="00A9794E" w:rsidRDefault="00A9794E" w:rsidP="00A979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4E">
        <w:rPr>
          <w:rFonts w:ascii="Times New Roman" w:hAnsi="Times New Roman" w:cs="Times New Roman"/>
          <w:b/>
          <w:sz w:val="28"/>
          <w:szCs w:val="28"/>
        </w:rPr>
        <w:t>9. Размеры формирования фонда оплаты труда</w:t>
      </w:r>
    </w:p>
    <w:p w:rsid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794E" w:rsidRP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94E">
        <w:rPr>
          <w:color w:val="000000"/>
          <w:sz w:val="28"/>
          <w:szCs w:val="28"/>
        </w:rPr>
        <w:t>9.1. Годовой фонд оплаты труда работников состоит из 50 должностных окладов, направляемых на выплату должностных окладов и средств на выплату (в расчете на год):</w:t>
      </w:r>
    </w:p>
    <w:p w:rsidR="00A9794E" w:rsidRP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94E">
        <w:rPr>
          <w:color w:val="000000"/>
          <w:sz w:val="28"/>
          <w:szCs w:val="28"/>
        </w:rPr>
        <w:t>- ежемесячной надбавки за выслугу лет – в размере трех с половиной должностных окладов;</w:t>
      </w:r>
    </w:p>
    <w:p w:rsidR="00A9794E" w:rsidRP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94E">
        <w:rPr>
          <w:color w:val="000000"/>
          <w:sz w:val="28"/>
          <w:szCs w:val="28"/>
        </w:rPr>
        <w:t>- ежемесячной набавки за сложность и напряженность выполняемо</w:t>
      </w:r>
      <w:r w:rsidR="00C61ECF">
        <w:rPr>
          <w:color w:val="000000"/>
          <w:sz w:val="28"/>
          <w:szCs w:val="28"/>
        </w:rPr>
        <w:t xml:space="preserve">й работы – в размере тринадцати </w:t>
      </w:r>
      <w:r w:rsidRPr="00A9794E">
        <w:rPr>
          <w:color w:val="000000"/>
          <w:sz w:val="28"/>
          <w:szCs w:val="28"/>
        </w:rPr>
        <w:t>должностных окладов;</w:t>
      </w:r>
    </w:p>
    <w:p w:rsidR="00A9794E" w:rsidRP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94E">
        <w:rPr>
          <w:color w:val="000000"/>
          <w:sz w:val="28"/>
          <w:szCs w:val="28"/>
        </w:rPr>
        <w:t>- ежемесячное денежное поощрение – в размере четырнадцати с половиной должностных окладов;</w:t>
      </w:r>
    </w:p>
    <w:p w:rsidR="00A9794E" w:rsidRP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94E">
        <w:rPr>
          <w:color w:val="000000"/>
          <w:sz w:val="28"/>
          <w:szCs w:val="28"/>
        </w:rPr>
        <w:t>- премии за выполнение от</w:t>
      </w:r>
      <w:r w:rsidR="00C61ECF">
        <w:rPr>
          <w:color w:val="000000"/>
          <w:sz w:val="28"/>
          <w:szCs w:val="28"/>
        </w:rPr>
        <w:t xml:space="preserve">дельных заданий – в размере четырех </w:t>
      </w:r>
      <w:r w:rsidRPr="00A9794E">
        <w:rPr>
          <w:color w:val="000000"/>
          <w:sz w:val="28"/>
          <w:szCs w:val="28"/>
        </w:rPr>
        <w:t xml:space="preserve"> должностных окладов;</w:t>
      </w:r>
    </w:p>
    <w:p w:rsidR="00A9794E" w:rsidRPr="00A9794E" w:rsidRDefault="00A9794E" w:rsidP="00A9794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94E">
        <w:rPr>
          <w:color w:val="000000"/>
          <w:sz w:val="28"/>
          <w:szCs w:val="28"/>
        </w:rPr>
        <w:t>- единовременной выплаты при предоставлении ежегодного оплачиваемого отпуска в размере двух должностных окладов;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-материальной помощи – в размере одного должностного оклада.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По решению главы А</w:t>
      </w:r>
      <w:r w:rsidRPr="00A979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Липицкое </w:t>
      </w:r>
      <w:r w:rsidRPr="00A9794E">
        <w:rPr>
          <w:rFonts w:ascii="Times New Roman" w:hAnsi="Times New Roman" w:cs="Times New Roman"/>
          <w:sz w:val="28"/>
          <w:szCs w:val="28"/>
        </w:rPr>
        <w:t>Чернского района экономии фонда оплаты труда на основании распоряжения может направляться на премирование работников по результатам текущей деятельности в течение календарного года и по итогам работы за год.</w:t>
      </w:r>
    </w:p>
    <w:p w:rsidR="00A9794E" w:rsidRPr="00A9794E" w:rsidRDefault="00A9794E" w:rsidP="00A97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794E" w:rsidRPr="00A9794E" w:rsidSect="007F2893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A9794E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A9794E">
        <w:rPr>
          <w:rFonts w:ascii="Times New Roman" w:hAnsi="Times New Roman" w:cs="Times New Roman"/>
          <w:sz w:val="28"/>
          <w:szCs w:val="28"/>
        </w:rPr>
        <w:t>В случае увольнения работника до принятия решения о премировании по итогам работы за год</w:t>
      </w:r>
      <w:proofErr w:type="gramEnd"/>
      <w:r w:rsidRPr="00A9794E">
        <w:rPr>
          <w:rFonts w:ascii="Times New Roman" w:hAnsi="Times New Roman" w:cs="Times New Roman"/>
          <w:sz w:val="28"/>
          <w:szCs w:val="28"/>
        </w:rPr>
        <w:t>, данному работнику</w:t>
      </w:r>
      <w:r>
        <w:rPr>
          <w:rFonts w:ascii="Times New Roman" w:hAnsi="Times New Roman" w:cs="Times New Roman"/>
          <w:sz w:val="28"/>
          <w:szCs w:val="28"/>
        </w:rPr>
        <w:t xml:space="preserve"> премия за год не выплачивается.</w:t>
      </w:r>
    </w:p>
    <w:p w:rsidR="008D507B" w:rsidRDefault="00A9794E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8D507B" w:rsidRDefault="00A9794E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об оплате труда работников, </w:t>
      </w:r>
    </w:p>
    <w:p w:rsidR="008D507B" w:rsidRDefault="00A9794E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должности, не отнесенные к </w:t>
      </w:r>
      <w:r w:rsidR="008D507B">
        <w:rPr>
          <w:rFonts w:ascii="Times New Roman" w:hAnsi="Times New Roman" w:cs="Times New Roman"/>
          <w:sz w:val="24"/>
          <w:szCs w:val="28"/>
        </w:rPr>
        <w:t>должностям муниципальной службы Администрации муниципального образования Липицкое Чернского района</w:t>
      </w:r>
    </w:p>
    <w:p w:rsidR="008D507B" w:rsidRDefault="008D507B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РАЗМЕРЫ </w:t>
      </w:r>
    </w:p>
    <w:p w:rsidR="008D507B" w:rsidRDefault="008D507B" w:rsidP="008D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должностных окладов работников, замещающих должности, не отнесенные к должностям муниципальной службы Администрации муниципального образования Липицкое Чернского района</w:t>
      </w:r>
    </w:p>
    <w:p w:rsidR="008D507B" w:rsidRDefault="008D507B" w:rsidP="008D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069"/>
        <w:gridCol w:w="4500"/>
      </w:tblGrid>
      <w:tr w:rsidR="008D507B" w:rsidTr="004231CC">
        <w:tc>
          <w:tcPr>
            <w:tcW w:w="5070" w:type="dxa"/>
          </w:tcPr>
          <w:p w:rsidR="008D507B" w:rsidRPr="00B5115B" w:rsidRDefault="008D507B" w:rsidP="004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01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должностного оклада </w:t>
            </w:r>
          </w:p>
          <w:p w:rsidR="008D507B" w:rsidRPr="00B5115B" w:rsidRDefault="008D507B" w:rsidP="004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(рублей в месяц)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01" w:type="dxa"/>
          </w:tcPr>
          <w:p w:rsidR="008D507B" w:rsidRPr="00797320" w:rsidRDefault="00C61ECF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9279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инструктор-специалист</w:t>
            </w:r>
          </w:p>
        </w:tc>
        <w:tc>
          <w:tcPr>
            <w:tcW w:w="4501" w:type="dxa"/>
          </w:tcPr>
          <w:p w:rsidR="008D507B" w:rsidRPr="00797320" w:rsidRDefault="00C61ECF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инструктор-специалист</w:t>
            </w:r>
          </w:p>
        </w:tc>
        <w:tc>
          <w:tcPr>
            <w:tcW w:w="4501" w:type="dxa"/>
          </w:tcPr>
          <w:p w:rsidR="008D507B" w:rsidRPr="00797320" w:rsidRDefault="00C61ECF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501" w:type="dxa"/>
          </w:tcPr>
          <w:p w:rsidR="008D507B" w:rsidRPr="00797320" w:rsidRDefault="00C61ECF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501" w:type="dxa"/>
          </w:tcPr>
          <w:p w:rsidR="008D507B" w:rsidRPr="00797320" w:rsidRDefault="00C61ECF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4501" w:type="dxa"/>
          </w:tcPr>
          <w:p w:rsidR="008D507B" w:rsidRPr="00797320" w:rsidRDefault="00C67DF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EC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</w:tbl>
    <w:p w:rsidR="008D507B" w:rsidRPr="008D507B" w:rsidRDefault="008D507B" w:rsidP="008D5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507B" w:rsidRP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8D507B" w:rsidRPr="008D507B" w:rsidSect="007F2893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8D507B" w:rsidRDefault="008D507B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8D507B" w:rsidRDefault="008D507B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об оплате труда работников, </w:t>
      </w:r>
    </w:p>
    <w:p w:rsidR="008D507B" w:rsidRDefault="008D507B" w:rsidP="008D50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должности, не отнесенные к должностям муниципальной службы Администрации муниципального образования Липицкое Чернского района</w:t>
      </w:r>
    </w:p>
    <w:p w:rsidR="008D507B" w:rsidRPr="008D507B" w:rsidRDefault="008D507B" w:rsidP="008D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7B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7B">
        <w:rPr>
          <w:rFonts w:ascii="Times New Roman" w:hAnsi="Times New Roman" w:cs="Times New Roman"/>
          <w:b/>
          <w:sz w:val="28"/>
          <w:szCs w:val="28"/>
        </w:rPr>
        <w:t>ежемесячной надбавки к  должностному окладу за сложность и напряженность работников, замещающих должности, не отнесенные к должностям муниципальной службы и работников осуществляющих техниче</w:t>
      </w:r>
      <w:r>
        <w:rPr>
          <w:rFonts w:ascii="Times New Roman" w:hAnsi="Times New Roman" w:cs="Times New Roman"/>
          <w:b/>
          <w:sz w:val="28"/>
          <w:szCs w:val="28"/>
        </w:rPr>
        <w:t>ское обеспечение деятельности  А</w:t>
      </w:r>
      <w:r w:rsidRPr="008D507B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Липицкое </w:t>
      </w:r>
      <w:r w:rsidRPr="008D507B">
        <w:rPr>
          <w:rFonts w:ascii="Times New Roman" w:hAnsi="Times New Roman" w:cs="Times New Roman"/>
          <w:b/>
          <w:sz w:val="28"/>
          <w:szCs w:val="28"/>
        </w:rPr>
        <w:t>Чернского района</w:t>
      </w:r>
    </w:p>
    <w:p w:rsidR="008D507B" w:rsidRPr="008D507B" w:rsidRDefault="008D507B" w:rsidP="008D50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8D507B" w:rsidTr="004231CC">
        <w:tc>
          <w:tcPr>
            <w:tcW w:w="5070" w:type="dxa"/>
          </w:tcPr>
          <w:p w:rsidR="008D507B" w:rsidRPr="00B5115B" w:rsidRDefault="008D507B" w:rsidP="004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01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424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ежемесячной надбавки к должностному окладу </w:t>
            </w:r>
          </w:p>
          <w:p w:rsidR="008D507B" w:rsidRPr="00B5115B" w:rsidRDefault="004241EE" w:rsidP="004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 </w:t>
            </w:r>
            <w:r w:rsidR="008D507B">
              <w:rPr>
                <w:rFonts w:ascii="Times New Roman" w:hAnsi="Times New Roman" w:cs="Times New Roman"/>
                <w:b/>
                <w:sz w:val="24"/>
                <w:szCs w:val="24"/>
              </w:rPr>
              <w:t>в месяц)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01" w:type="dxa"/>
          </w:tcPr>
          <w:p w:rsidR="008D507B" w:rsidRPr="00797320" w:rsidRDefault="004241EE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инструктор-специалист</w:t>
            </w:r>
          </w:p>
        </w:tc>
        <w:tc>
          <w:tcPr>
            <w:tcW w:w="4501" w:type="dxa"/>
          </w:tcPr>
          <w:p w:rsidR="008D507B" w:rsidRPr="00797320" w:rsidRDefault="004241EE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инструктор-специалист</w:t>
            </w:r>
          </w:p>
        </w:tc>
        <w:tc>
          <w:tcPr>
            <w:tcW w:w="4501" w:type="dxa"/>
          </w:tcPr>
          <w:p w:rsidR="008D507B" w:rsidRPr="00797320" w:rsidRDefault="004241EE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501" w:type="dxa"/>
          </w:tcPr>
          <w:p w:rsidR="008D507B" w:rsidRPr="00797320" w:rsidRDefault="004241EE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501" w:type="dxa"/>
          </w:tcPr>
          <w:p w:rsidR="008D507B" w:rsidRPr="00797320" w:rsidRDefault="004241EE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D507B" w:rsidTr="004231CC">
        <w:tc>
          <w:tcPr>
            <w:tcW w:w="5070" w:type="dxa"/>
          </w:tcPr>
          <w:p w:rsidR="008D507B" w:rsidRDefault="008D507B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4501" w:type="dxa"/>
          </w:tcPr>
          <w:p w:rsidR="008D507B" w:rsidRPr="00797320" w:rsidRDefault="004241EE" w:rsidP="0042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A9794E" w:rsidRPr="00A9794E" w:rsidRDefault="00A9794E" w:rsidP="008D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9794E" w:rsidRPr="00A9794E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295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1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4D91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848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1EE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D6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82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2F5D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BCB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28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4C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07B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545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7EA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94E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6B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ECF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67DFB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0C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3FD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5F6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5E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7FB1-BC98-49F2-9065-6CB3C560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2024-04-09T09:40:00Z</cp:lastPrinted>
  <dcterms:created xsi:type="dcterms:W3CDTF">2024-03-25T07:36:00Z</dcterms:created>
  <dcterms:modified xsi:type="dcterms:W3CDTF">2024-04-09T09:41:00Z</dcterms:modified>
</cp:coreProperties>
</file>