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86A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4286A">
        <w:rPr>
          <w:rFonts w:ascii="Times New Roman" w:hAnsi="Times New Roman" w:cs="Times New Roman"/>
          <w:b/>
          <w:sz w:val="24"/>
          <w:szCs w:val="24"/>
        </w:rPr>
        <w:br/>
        <w:t>ЧЕРНСКИЙ РАЙОН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DB2E39" w:rsidRPr="001C4FCF" w:rsidTr="00136026">
        <w:tc>
          <w:tcPr>
            <w:tcW w:w="9571" w:type="dxa"/>
          </w:tcPr>
          <w:p w:rsidR="00E20A7F" w:rsidRDefault="00E20A7F" w:rsidP="00677129">
            <w:pPr>
              <w:jc w:val="center"/>
              <w:rPr>
                <w:sz w:val="28"/>
                <w:szCs w:val="28"/>
              </w:rPr>
            </w:pPr>
          </w:p>
          <w:p w:rsidR="00136026" w:rsidRDefault="00136026" w:rsidP="00677129">
            <w:pPr>
              <w:jc w:val="center"/>
              <w:rPr>
                <w:sz w:val="28"/>
                <w:szCs w:val="28"/>
              </w:rPr>
            </w:pPr>
          </w:p>
          <w:p w:rsidR="00DB2E39" w:rsidRPr="001C4FCF" w:rsidRDefault="00DB2E39" w:rsidP="00677129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4FCF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2E39" w:rsidRPr="001C4FCF" w:rsidRDefault="00DB2E39" w:rsidP="00677129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B2E39" w:rsidRPr="000108E3" w:rsidRDefault="00DB2E39" w:rsidP="00F351AD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351AD">
              <w:rPr>
                <w:rFonts w:ascii="Times New Roman" w:hAnsi="Times New Roman"/>
                <w:sz w:val="28"/>
                <w:szCs w:val="28"/>
              </w:rPr>
              <w:t>30 мая 2024 года</w:t>
            </w:r>
            <w:r w:rsidR="00E20A7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351A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20A7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1C4FC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1AD">
              <w:rPr>
                <w:rFonts w:ascii="Times New Roman" w:hAnsi="Times New Roman"/>
                <w:sz w:val="28"/>
                <w:szCs w:val="28"/>
              </w:rPr>
              <w:t>9-29</w:t>
            </w:r>
          </w:p>
        </w:tc>
      </w:tr>
    </w:tbl>
    <w:p w:rsidR="00A93CFB" w:rsidRPr="00414DEF" w:rsidRDefault="00A93CFB" w:rsidP="002D01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9570"/>
      </w:tblGrid>
      <w:tr w:rsidR="00A93CFB" w:rsidRPr="00FD4AAF" w:rsidTr="00985ACA">
        <w:trPr>
          <w:jc w:val="center"/>
        </w:trPr>
        <w:tc>
          <w:tcPr>
            <w:tcW w:w="9570" w:type="dxa"/>
          </w:tcPr>
          <w:p w:rsidR="00A93CFB" w:rsidRPr="00FD4AAF" w:rsidRDefault="00A93CFB" w:rsidP="00414D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A7F" w:rsidRPr="00136026" w:rsidRDefault="00E20A7F" w:rsidP="0013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2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36026" w:rsidRPr="00136026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Pr="00136026">
        <w:rPr>
          <w:rFonts w:ascii="Times New Roman" w:hAnsi="Times New Roman" w:cs="Times New Roman"/>
          <w:b/>
          <w:sz w:val="28"/>
          <w:szCs w:val="28"/>
        </w:rPr>
        <w:t xml:space="preserve"> и условий заключения соглашений о защите и поощрении капиталовложений со стороны муниципального образования </w:t>
      </w:r>
      <w:r w:rsidR="00136026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E20A7F" w:rsidRPr="00E20A7F" w:rsidRDefault="00E20A7F" w:rsidP="00E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7F" w:rsidRPr="00E20A7F" w:rsidRDefault="00E20A7F" w:rsidP="00E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CD7EB6">
        <w:rPr>
          <w:rFonts w:ascii="Times New Roman" w:hAnsi="Times New Roman" w:cs="Times New Roman"/>
          <w:sz w:val="28"/>
          <w:szCs w:val="28"/>
        </w:rPr>
        <w:t>законом от 06.10.2003 N 131-ФЗ «</w:t>
      </w:r>
      <w:r w:rsidRPr="00E20A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CD7EB6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>, Федеральным</w:t>
      </w:r>
      <w:r w:rsidR="00CD7EB6">
        <w:rPr>
          <w:rFonts w:ascii="Times New Roman" w:hAnsi="Times New Roman" w:cs="Times New Roman"/>
          <w:sz w:val="28"/>
          <w:szCs w:val="28"/>
        </w:rPr>
        <w:t xml:space="preserve"> законом от 01.04.2020 N 69-ФЗ «</w:t>
      </w:r>
      <w:r w:rsidRPr="00E20A7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район, Собрание представителей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РЕШИЛО:</w:t>
      </w: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уполномоченным органом местного самоуправления на реализацию положений Федеральног</w:t>
      </w:r>
      <w:r w:rsidR="00CD7EB6">
        <w:rPr>
          <w:rFonts w:ascii="Times New Roman" w:hAnsi="Times New Roman" w:cs="Times New Roman"/>
          <w:sz w:val="28"/>
          <w:szCs w:val="28"/>
        </w:rPr>
        <w:t>о закона от 01.04.2020 N 69-ФЗ «</w:t>
      </w:r>
      <w:r w:rsidRPr="00E20A7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муниципального образования </w:t>
      </w:r>
      <w:r w:rsidR="003B447C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(приложение).</w:t>
      </w:r>
    </w:p>
    <w:p w:rsidR="00D936AF" w:rsidRDefault="00D936AF" w:rsidP="00D936AF">
      <w:pPr>
        <w:pStyle w:val="a9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решение на официальных информационных стендах муниципального образования Чернский район и разместить на официальном сайте муниципального образования Чернский район (https://chernskij-r71.gosweb.gosuslugi.ru).</w:t>
      </w:r>
    </w:p>
    <w:p w:rsidR="00E20A7F" w:rsidRPr="00D936AF" w:rsidRDefault="00D936AF" w:rsidP="00D936AF">
      <w:pPr>
        <w:pStyle w:val="a9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обнародования.</w:t>
      </w:r>
    </w:p>
    <w:p w:rsidR="000C794A" w:rsidRDefault="000C794A" w:rsidP="00E20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4A" w:rsidRDefault="000C794A" w:rsidP="00E20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529"/>
        <w:gridCol w:w="4111"/>
      </w:tblGrid>
      <w:tr w:rsidR="00136026" w:rsidRPr="003723EE" w:rsidTr="00CC3A9A">
        <w:tc>
          <w:tcPr>
            <w:tcW w:w="3759" w:type="dxa"/>
          </w:tcPr>
          <w:p w:rsidR="00136026" w:rsidRDefault="00136026" w:rsidP="00CC3A9A">
            <w:pPr>
              <w:spacing w:after="0"/>
              <w:ind w:hanging="531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муниципального образования</w:t>
            </w:r>
          </w:p>
          <w:p w:rsidR="00136026" w:rsidRPr="003723EE" w:rsidRDefault="00136026" w:rsidP="00CC3A9A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 район</w:t>
            </w:r>
          </w:p>
        </w:tc>
        <w:tc>
          <w:tcPr>
            <w:tcW w:w="2795" w:type="dxa"/>
          </w:tcPr>
          <w:p w:rsidR="00136026" w:rsidRPr="003723EE" w:rsidRDefault="00136026" w:rsidP="00CC3A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136026" w:rsidRDefault="00136026" w:rsidP="00CC3A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          Куршева О.А.</w:t>
            </w:r>
          </w:p>
          <w:p w:rsidR="00136026" w:rsidRPr="003723EE" w:rsidRDefault="00136026" w:rsidP="00CC3A9A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7554EF" w:rsidRPr="00FD4AAF" w:rsidRDefault="007554EF" w:rsidP="00D93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54EF" w:rsidRPr="00FD4AAF" w:rsidRDefault="007554EF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7554EF" w:rsidRPr="00FD4AAF" w:rsidRDefault="007554EF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t>МО Чернский район</w:t>
      </w:r>
    </w:p>
    <w:p w:rsidR="007554EF" w:rsidRPr="00FD4AAF" w:rsidRDefault="00AA47E0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351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51AD">
        <w:rPr>
          <w:rFonts w:ascii="Times New Roman" w:hAnsi="Times New Roman" w:cs="Times New Roman"/>
          <w:sz w:val="24"/>
          <w:szCs w:val="24"/>
        </w:rPr>
        <w:t xml:space="preserve">мая </w:t>
      </w:r>
      <w:r w:rsidR="002D017E">
        <w:rPr>
          <w:rFonts w:ascii="Times New Roman" w:hAnsi="Times New Roman" w:cs="Times New Roman"/>
          <w:sz w:val="24"/>
          <w:szCs w:val="24"/>
        </w:rPr>
        <w:t>202</w:t>
      </w:r>
      <w:r w:rsidR="00A86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F351AD">
        <w:rPr>
          <w:rFonts w:ascii="Times New Roman" w:hAnsi="Times New Roman" w:cs="Times New Roman"/>
          <w:sz w:val="24"/>
          <w:szCs w:val="24"/>
        </w:rPr>
        <w:t>9-29</w:t>
      </w:r>
    </w:p>
    <w:p w:rsidR="007554EF" w:rsidRDefault="007554E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P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A86CAF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AF">
        <w:rPr>
          <w:rFonts w:ascii="Times New Roman" w:hAnsi="Times New Roman" w:cs="Times New Roman"/>
          <w:b/>
          <w:sz w:val="28"/>
          <w:szCs w:val="28"/>
        </w:rPr>
        <w:t>заключения соглашений о защите и поощрении капиталовложений</w:t>
      </w: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AF">
        <w:rPr>
          <w:rFonts w:ascii="Times New Roman" w:hAnsi="Times New Roman" w:cs="Times New Roman"/>
          <w:b/>
          <w:sz w:val="28"/>
          <w:szCs w:val="28"/>
        </w:rPr>
        <w:t xml:space="preserve">со стороны муниципального образования </w:t>
      </w:r>
      <w:r w:rsidR="000C794A">
        <w:rPr>
          <w:rFonts w:ascii="Times New Roman" w:hAnsi="Times New Roman" w:cs="Times New Roman"/>
          <w:b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п. 8 ст. 4 Федеральног</w:t>
      </w:r>
      <w:r w:rsidR="00CD7EB6">
        <w:rPr>
          <w:rFonts w:ascii="Times New Roman" w:hAnsi="Times New Roman" w:cs="Times New Roman"/>
          <w:sz w:val="28"/>
          <w:szCs w:val="28"/>
        </w:rPr>
        <w:t>о закона от 01.04.2020 N 69-ФЗ «</w:t>
      </w:r>
      <w:r w:rsidRPr="00A86CA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A86CAF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B447C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капиталовложений заключается не позднее 1 января 2030 года.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а также применительно к каждому такому этапу: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lastRenderedPageBreak/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2.1) срок осуществления капиталовложений в установленном объеме;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2.3) объем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 пунктах 2 - 2.2 ст. 10 Федерального закона, в следующих пределах: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ст. 10 Федерального закона,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б) 40 процентов - в случаях, указанных в подпунктах</w:t>
      </w:r>
      <w:r w:rsidR="00CD7EB6">
        <w:rPr>
          <w:rFonts w:ascii="Times New Roman" w:hAnsi="Times New Roman" w:cs="Times New Roman"/>
          <w:sz w:val="28"/>
          <w:szCs w:val="28"/>
        </w:rPr>
        <w:t xml:space="preserve"> «</w:t>
      </w:r>
      <w:r w:rsidRPr="00A86CAF">
        <w:rPr>
          <w:rFonts w:ascii="Times New Roman" w:hAnsi="Times New Roman" w:cs="Times New Roman"/>
          <w:sz w:val="28"/>
          <w:szCs w:val="28"/>
        </w:rPr>
        <w:t>а</w:t>
      </w:r>
      <w:r w:rsidR="00CD7EB6">
        <w:rPr>
          <w:rFonts w:ascii="Times New Roman" w:hAnsi="Times New Roman" w:cs="Times New Roman"/>
          <w:sz w:val="28"/>
          <w:szCs w:val="28"/>
        </w:rPr>
        <w:t>» - «в»</w:t>
      </w:r>
      <w:r w:rsidRPr="00A86CAF">
        <w:rPr>
          <w:rFonts w:ascii="Times New Roman" w:hAnsi="Times New Roman" w:cs="Times New Roman"/>
          <w:sz w:val="28"/>
          <w:szCs w:val="28"/>
        </w:rPr>
        <w:t xml:space="preserve"> пункта 2 и пункте 2.2 ст. 10 Федерального закона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</w:t>
      </w:r>
      <w:r w:rsidR="00556D8D" w:rsidRPr="00A86CAF">
        <w:rPr>
          <w:rFonts w:ascii="Times New Roman" w:hAnsi="Times New Roman" w:cs="Times New Roman"/>
          <w:sz w:val="28"/>
          <w:szCs w:val="28"/>
        </w:rPr>
        <w:t>14 Федерального</w:t>
      </w:r>
      <w:r w:rsidRPr="00A86CAF">
        <w:rPr>
          <w:rFonts w:ascii="Times New Roman" w:hAnsi="Times New Roman" w:cs="Times New Roman"/>
          <w:sz w:val="28"/>
          <w:szCs w:val="28"/>
        </w:rPr>
        <w:t xml:space="preserve"> закона, и (или) процентная ставка (порядок ее определения) по кредитному договору, указанном</w:t>
      </w:r>
      <w:r w:rsidR="00CD7EB6">
        <w:rPr>
          <w:rFonts w:ascii="Times New Roman" w:hAnsi="Times New Roman" w:cs="Times New Roman"/>
          <w:sz w:val="28"/>
          <w:szCs w:val="28"/>
        </w:rPr>
        <w:t xml:space="preserve">у в пункте 2 части 1 статьи 14 </w:t>
      </w:r>
      <w:r w:rsidRPr="00A86CAF">
        <w:rPr>
          <w:rFonts w:ascii="Times New Roman" w:hAnsi="Times New Roman" w:cs="Times New Roman"/>
          <w:sz w:val="28"/>
          <w:szCs w:val="28"/>
        </w:rPr>
        <w:t xml:space="preserve">Федерального закона, а также </w:t>
      </w:r>
      <w:r w:rsidRPr="00A86CAF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и объемы субсидий, указанных в пункте 2 части 3 статьи 14 Федерального закона;</w:t>
      </w:r>
    </w:p>
    <w:p w:rsidR="00556D8D" w:rsidRPr="00556D8D" w:rsidRDefault="00A86CAF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6) </w:t>
      </w:r>
      <w:r w:rsidR="00556D8D" w:rsidRPr="00556D8D">
        <w:rPr>
          <w:rFonts w:ascii="Times New Roman" w:hAnsi="Times New Roman" w:cs="Times New Roman"/>
          <w:sz w:val="28"/>
          <w:szCs w:val="28"/>
        </w:rPr>
        <w:t xml:space="preserve">указание на обязанность публично-правового </w:t>
      </w:r>
      <w:r w:rsidR="00556D8D">
        <w:rPr>
          <w:rFonts w:ascii="Times New Roman" w:hAnsi="Times New Roman" w:cs="Times New Roman"/>
          <w:sz w:val="28"/>
          <w:szCs w:val="28"/>
        </w:rPr>
        <w:t xml:space="preserve">образования (публично-правовых </w:t>
      </w:r>
      <w:r w:rsidR="00556D8D" w:rsidRPr="00556D8D">
        <w:rPr>
          <w:rFonts w:ascii="Times New Roman" w:hAnsi="Times New Roman" w:cs="Times New Roman"/>
          <w:sz w:val="28"/>
          <w:szCs w:val="28"/>
        </w:rPr>
        <w:t>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</w:t>
      </w:r>
      <w:r w:rsidR="00556D8D">
        <w:rPr>
          <w:rFonts w:ascii="Times New Roman" w:hAnsi="Times New Roman" w:cs="Times New Roman"/>
          <w:sz w:val="28"/>
          <w:szCs w:val="28"/>
        </w:rPr>
        <w:t xml:space="preserve">ализующей проект, для уплаты в </w:t>
      </w:r>
      <w:r w:rsidR="00556D8D" w:rsidRPr="00556D8D">
        <w:rPr>
          <w:rFonts w:ascii="Times New Roman" w:hAnsi="Times New Roman" w:cs="Times New Roman"/>
          <w:sz w:val="28"/>
          <w:szCs w:val="28"/>
        </w:rPr>
        <w:t>соответствующие бюджеты публично-правовых образований, являющихся сторонами</w:t>
      </w:r>
      <w:r w:rsidR="00556D8D">
        <w:rPr>
          <w:rFonts w:ascii="Times New Roman" w:hAnsi="Times New Roman" w:cs="Times New Roman"/>
          <w:sz w:val="28"/>
          <w:szCs w:val="28"/>
        </w:rPr>
        <w:t xml:space="preserve"> </w:t>
      </w:r>
      <w:r w:rsidR="00556D8D" w:rsidRPr="00556D8D">
        <w:rPr>
          <w:rFonts w:ascii="Times New Roman" w:hAnsi="Times New Roman" w:cs="Times New Roman"/>
          <w:sz w:val="28"/>
          <w:szCs w:val="28"/>
        </w:rPr>
        <w:t>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556D8D" w:rsidRPr="00556D8D" w:rsidRDefault="00556D8D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порядком, предусмотренным </w:t>
      </w:r>
      <w:r w:rsidRPr="00556D8D">
        <w:rPr>
          <w:rFonts w:ascii="Times New Roman" w:hAnsi="Times New Roman" w:cs="Times New Roman"/>
          <w:sz w:val="28"/>
          <w:szCs w:val="28"/>
        </w:rPr>
        <w:t>статьей 12 Федерального закона, в том числе в случаях, предусмотренных частью 3 статьи 14 Федерального закона;</w:t>
      </w:r>
    </w:p>
    <w:p w:rsidR="00A86CAF" w:rsidRPr="00A86CAF" w:rsidRDefault="00556D8D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статьей 15 настоящего </w:t>
      </w:r>
      <w:r w:rsidRPr="00556D8D">
        <w:rPr>
          <w:rFonts w:ascii="Times New Roman" w:hAnsi="Times New Roman" w:cs="Times New Roman"/>
          <w:sz w:val="28"/>
          <w:szCs w:val="28"/>
        </w:rPr>
        <w:t>Федерального закона (в случае, если публично-правовым образованием было принято решение о возмещении таких затрат);</w:t>
      </w:r>
    </w:p>
    <w:p w:rsidR="00A86CAF" w:rsidRDefault="00A86CAF" w:rsidP="00556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556D8D" w:rsidRPr="00A86CAF" w:rsidRDefault="00556D8D" w:rsidP="00556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7.1) обязательство организации, реализующей пр</w:t>
      </w:r>
      <w:r>
        <w:rPr>
          <w:rFonts w:ascii="Times New Roman" w:hAnsi="Times New Roman" w:cs="Times New Roman"/>
          <w:sz w:val="28"/>
          <w:szCs w:val="28"/>
        </w:rPr>
        <w:t xml:space="preserve">оект, по переходу на налоговый </w:t>
      </w:r>
      <w:r w:rsidRPr="00556D8D">
        <w:rPr>
          <w:rFonts w:ascii="Times New Roman" w:hAnsi="Times New Roman" w:cs="Times New Roman"/>
          <w:sz w:val="28"/>
          <w:szCs w:val="28"/>
        </w:rPr>
        <w:t>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5. Решение о заключении соглашения принимается в форме постановления администрации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lastRenderedPageBreak/>
        <w:t xml:space="preserve">6. Условия заключения соглашений о защите и поощрении капиталовложений со стороны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6.1.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6.2. К полномочиям администрации муниципального образования </w:t>
      </w:r>
      <w:r w:rsidR="000C794A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 в случае, если муниципальное образование </w:t>
      </w:r>
      <w:r w:rsidR="000C794A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 является стороной соглашения о защите и поощрении капиталовложений, относятся: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осуществление мониторинга этапов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власти;</w:t>
      </w:r>
    </w:p>
    <w:p w:rsidR="00AA47E0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3) иные функции и полномочия, закрепленные Федеральным законом за уполномоченными органами местного самоуправления.</w:t>
      </w:r>
    </w:p>
    <w:p w:rsidR="007554EF" w:rsidRPr="00A86CAF" w:rsidRDefault="007554EF" w:rsidP="007554EF">
      <w:pPr>
        <w:rPr>
          <w:rFonts w:ascii="Arial" w:hAnsi="Arial" w:cs="Arial"/>
        </w:rPr>
      </w:pPr>
    </w:p>
    <w:p w:rsidR="007554EF" w:rsidRPr="00A86CAF" w:rsidRDefault="007554EF" w:rsidP="00A93CFB">
      <w:pPr>
        <w:jc w:val="center"/>
      </w:pPr>
    </w:p>
    <w:sectPr w:rsidR="007554EF" w:rsidRPr="00A86CAF" w:rsidSect="00184C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D37"/>
    <w:multiLevelType w:val="hybridMultilevel"/>
    <w:tmpl w:val="D71AB3BC"/>
    <w:lvl w:ilvl="0" w:tplc="9962B8E6">
      <w:start w:val="3"/>
      <w:numFmt w:val="decimal"/>
      <w:lvlText w:val="%1."/>
      <w:lvlJc w:val="left"/>
      <w:pPr>
        <w:ind w:left="1811" w:hanging="360"/>
      </w:pPr>
    </w:lvl>
    <w:lvl w:ilvl="1" w:tplc="04190019">
      <w:start w:val="1"/>
      <w:numFmt w:val="lowerLetter"/>
      <w:lvlText w:val="%2."/>
      <w:lvlJc w:val="left"/>
      <w:pPr>
        <w:ind w:left="2531" w:hanging="360"/>
      </w:pPr>
    </w:lvl>
    <w:lvl w:ilvl="2" w:tplc="0419001B">
      <w:start w:val="1"/>
      <w:numFmt w:val="lowerRoman"/>
      <w:lvlText w:val="%3."/>
      <w:lvlJc w:val="right"/>
      <w:pPr>
        <w:ind w:left="3251" w:hanging="180"/>
      </w:pPr>
    </w:lvl>
    <w:lvl w:ilvl="3" w:tplc="0419000F">
      <w:start w:val="1"/>
      <w:numFmt w:val="decimal"/>
      <w:lvlText w:val="%4."/>
      <w:lvlJc w:val="left"/>
      <w:pPr>
        <w:ind w:left="3971" w:hanging="360"/>
      </w:pPr>
    </w:lvl>
    <w:lvl w:ilvl="4" w:tplc="04190019">
      <w:start w:val="1"/>
      <w:numFmt w:val="lowerLetter"/>
      <w:lvlText w:val="%5."/>
      <w:lvlJc w:val="left"/>
      <w:pPr>
        <w:ind w:left="4691" w:hanging="360"/>
      </w:pPr>
    </w:lvl>
    <w:lvl w:ilvl="5" w:tplc="0419001B">
      <w:start w:val="1"/>
      <w:numFmt w:val="lowerRoman"/>
      <w:lvlText w:val="%6."/>
      <w:lvlJc w:val="right"/>
      <w:pPr>
        <w:ind w:left="5411" w:hanging="180"/>
      </w:pPr>
    </w:lvl>
    <w:lvl w:ilvl="6" w:tplc="0419000F">
      <w:start w:val="1"/>
      <w:numFmt w:val="decimal"/>
      <w:lvlText w:val="%7."/>
      <w:lvlJc w:val="left"/>
      <w:pPr>
        <w:ind w:left="6131" w:hanging="360"/>
      </w:pPr>
    </w:lvl>
    <w:lvl w:ilvl="7" w:tplc="04190019">
      <w:start w:val="1"/>
      <w:numFmt w:val="lowerLetter"/>
      <w:lvlText w:val="%8."/>
      <w:lvlJc w:val="left"/>
      <w:pPr>
        <w:ind w:left="6851" w:hanging="360"/>
      </w:pPr>
    </w:lvl>
    <w:lvl w:ilvl="8" w:tplc="0419001B">
      <w:start w:val="1"/>
      <w:numFmt w:val="lowerRoman"/>
      <w:lvlText w:val="%9."/>
      <w:lvlJc w:val="right"/>
      <w:pPr>
        <w:ind w:left="7571" w:hanging="180"/>
      </w:pPr>
    </w:lvl>
  </w:abstractNum>
  <w:abstractNum w:abstractNumId="1" w15:restartNumberingAfterBreak="0">
    <w:nsid w:val="581A20CF"/>
    <w:multiLevelType w:val="hybridMultilevel"/>
    <w:tmpl w:val="FB4423D0"/>
    <w:lvl w:ilvl="0" w:tplc="B3EE256C">
      <w:start w:val="1"/>
      <w:numFmt w:val="decimal"/>
      <w:lvlText w:val="%1."/>
      <w:lvlJc w:val="left"/>
      <w:pPr>
        <w:ind w:left="20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B"/>
    <w:rsid w:val="0001655A"/>
    <w:rsid w:val="00047304"/>
    <w:rsid w:val="000529B3"/>
    <w:rsid w:val="00060A88"/>
    <w:rsid w:val="00062EE3"/>
    <w:rsid w:val="00064DB1"/>
    <w:rsid w:val="000759F2"/>
    <w:rsid w:val="000800ED"/>
    <w:rsid w:val="00085CAB"/>
    <w:rsid w:val="0008660F"/>
    <w:rsid w:val="000A3423"/>
    <w:rsid w:val="000A6270"/>
    <w:rsid w:val="000B4CD9"/>
    <w:rsid w:val="000C474D"/>
    <w:rsid w:val="000C60EE"/>
    <w:rsid w:val="000C794A"/>
    <w:rsid w:val="000E485B"/>
    <w:rsid w:val="000E58D3"/>
    <w:rsid w:val="000F0DF9"/>
    <w:rsid w:val="0010347B"/>
    <w:rsid w:val="00110500"/>
    <w:rsid w:val="0011082A"/>
    <w:rsid w:val="0013438D"/>
    <w:rsid w:val="00134563"/>
    <w:rsid w:val="00136026"/>
    <w:rsid w:val="001438BA"/>
    <w:rsid w:val="00146063"/>
    <w:rsid w:val="00150BEA"/>
    <w:rsid w:val="00153F89"/>
    <w:rsid w:val="00184CB7"/>
    <w:rsid w:val="001931D0"/>
    <w:rsid w:val="00194027"/>
    <w:rsid w:val="001A5299"/>
    <w:rsid w:val="001C695B"/>
    <w:rsid w:val="001D0E89"/>
    <w:rsid w:val="001D15E1"/>
    <w:rsid w:val="001D468E"/>
    <w:rsid w:val="001D5FA4"/>
    <w:rsid w:val="001E0054"/>
    <w:rsid w:val="00215B7F"/>
    <w:rsid w:val="00223A24"/>
    <w:rsid w:val="00230C22"/>
    <w:rsid w:val="0024650D"/>
    <w:rsid w:val="00247F06"/>
    <w:rsid w:val="002670F8"/>
    <w:rsid w:val="00276779"/>
    <w:rsid w:val="00276FB5"/>
    <w:rsid w:val="00283D8E"/>
    <w:rsid w:val="0029283F"/>
    <w:rsid w:val="002933D5"/>
    <w:rsid w:val="00296379"/>
    <w:rsid w:val="002A2BD6"/>
    <w:rsid w:val="002A3B6A"/>
    <w:rsid w:val="002B5A32"/>
    <w:rsid w:val="002C0EAB"/>
    <w:rsid w:val="002D017E"/>
    <w:rsid w:val="002E2488"/>
    <w:rsid w:val="00322A79"/>
    <w:rsid w:val="003262C3"/>
    <w:rsid w:val="00327B6F"/>
    <w:rsid w:val="003309CB"/>
    <w:rsid w:val="00354DEF"/>
    <w:rsid w:val="00357B40"/>
    <w:rsid w:val="00363A93"/>
    <w:rsid w:val="00365FBC"/>
    <w:rsid w:val="003A7CBF"/>
    <w:rsid w:val="003B4395"/>
    <w:rsid w:val="003B447C"/>
    <w:rsid w:val="003C4AFC"/>
    <w:rsid w:val="003C62AE"/>
    <w:rsid w:val="003C6773"/>
    <w:rsid w:val="003D1266"/>
    <w:rsid w:val="003D161C"/>
    <w:rsid w:val="003E0195"/>
    <w:rsid w:val="003E6959"/>
    <w:rsid w:val="003F5D6E"/>
    <w:rsid w:val="0040212B"/>
    <w:rsid w:val="004121FB"/>
    <w:rsid w:val="00414DEF"/>
    <w:rsid w:val="00416984"/>
    <w:rsid w:val="00422CAF"/>
    <w:rsid w:val="00433C84"/>
    <w:rsid w:val="004361DE"/>
    <w:rsid w:val="00457EF1"/>
    <w:rsid w:val="00466D1C"/>
    <w:rsid w:val="00474C52"/>
    <w:rsid w:val="00475D85"/>
    <w:rsid w:val="004801DD"/>
    <w:rsid w:val="00490D61"/>
    <w:rsid w:val="00492621"/>
    <w:rsid w:val="004A014E"/>
    <w:rsid w:val="004A2102"/>
    <w:rsid w:val="004A7C98"/>
    <w:rsid w:val="004C4028"/>
    <w:rsid w:val="004C5347"/>
    <w:rsid w:val="004C666D"/>
    <w:rsid w:val="004E5565"/>
    <w:rsid w:val="004F5230"/>
    <w:rsid w:val="004F5B99"/>
    <w:rsid w:val="0050475E"/>
    <w:rsid w:val="00513A61"/>
    <w:rsid w:val="0051622B"/>
    <w:rsid w:val="00532FE8"/>
    <w:rsid w:val="00544176"/>
    <w:rsid w:val="005458CC"/>
    <w:rsid w:val="00556D8D"/>
    <w:rsid w:val="00594DA0"/>
    <w:rsid w:val="00597DF7"/>
    <w:rsid w:val="005A2A5A"/>
    <w:rsid w:val="005A62B1"/>
    <w:rsid w:val="005C3F4D"/>
    <w:rsid w:val="00611951"/>
    <w:rsid w:val="006204BC"/>
    <w:rsid w:val="00644D11"/>
    <w:rsid w:val="006524EB"/>
    <w:rsid w:val="00660F5C"/>
    <w:rsid w:val="00663BDA"/>
    <w:rsid w:val="00665946"/>
    <w:rsid w:val="00666710"/>
    <w:rsid w:val="00685678"/>
    <w:rsid w:val="00694969"/>
    <w:rsid w:val="00695E01"/>
    <w:rsid w:val="006C117E"/>
    <w:rsid w:val="006E408F"/>
    <w:rsid w:val="007014F0"/>
    <w:rsid w:val="0071531C"/>
    <w:rsid w:val="00726792"/>
    <w:rsid w:val="007343B2"/>
    <w:rsid w:val="007349E0"/>
    <w:rsid w:val="00752E2B"/>
    <w:rsid w:val="007554EF"/>
    <w:rsid w:val="00755C10"/>
    <w:rsid w:val="00764B2A"/>
    <w:rsid w:val="007810E0"/>
    <w:rsid w:val="00794225"/>
    <w:rsid w:val="00794D9D"/>
    <w:rsid w:val="007C5256"/>
    <w:rsid w:val="007E03A7"/>
    <w:rsid w:val="007E3AEC"/>
    <w:rsid w:val="007E4D50"/>
    <w:rsid w:val="007E5060"/>
    <w:rsid w:val="007F33B8"/>
    <w:rsid w:val="008069A9"/>
    <w:rsid w:val="00810C13"/>
    <w:rsid w:val="0082217F"/>
    <w:rsid w:val="00831E84"/>
    <w:rsid w:val="00851AC1"/>
    <w:rsid w:val="00882A18"/>
    <w:rsid w:val="008842DF"/>
    <w:rsid w:val="008918DF"/>
    <w:rsid w:val="00895C07"/>
    <w:rsid w:val="008B3EC3"/>
    <w:rsid w:val="008D1D44"/>
    <w:rsid w:val="008D28D1"/>
    <w:rsid w:val="008D6273"/>
    <w:rsid w:val="008D75F7"/>
    <w:rsid w:val="0090445E"/>
    <w:rsid w:val="009158CD"/>
    <w:rsid w:val="00920C89"/>
    <w:rsid w:val="00923802"/>
    <w:rsid w:val="009268B3"/>
    <w:rsid w:val="0093094A"/>
    <w:rsid w:val="009455B7"/>
    <w:rsid w:val="00976D58"/>
    <w:rsid w:val="0098336D"/>
    <w:rsid w:val="0099689F"/>
    <w:rsid w:val="009B469A"/>
    <w:rsid w:val="009C21BE"/>
    <w:rsid w:val="009E0B2C"/>
    <w:rsid w:val="009E38DA"/>
    <w:rsid w:val="009E5200"/>
    <w:rsid w:val="009F405B"/>
    <w:rsid w:val="00A11BD7"/>
    <w:rsid w:val="00A35A94"/>
    <w:rsid w:val="00A46EC3"/>
    <w:rsid w:val="00A85D69"/>
    <w:rsid w:val="00A86CAF"/>
    <w:rsid w:val="00A93CFB"/>
    <w:rsid w:val="00AA47E0"/>
    <w:rsid w:val="00AE536C"/>
    <w:rsid w:val="00AE64D4"/>
    <w:rsid w:val="00AF33AD"/>
    <w:rsid w:val="00AF70FB"/>
    <w:rsid w:val="00B07F94"/>
    <w:rsid w:val="00B245F8"/>
    <w:rsid w:val="00B50032"/>
    <w:rsid w:val="00B52CCA"/>
    <w:rsid w:val="00B57F3A"/>
    <w:rsid w:val="00B60A2E"/>
    <w:rsid w:val="00B629E7"/>
    <w:rsid w:val="00B63487"/>
    <w:rsid w:val="00B83CD1"/>
    <w:rsid w:val="00B92A99"/>
    <w:rsid w:val="00BC07A9"/>
    <w:rsid w:val="00BC7887"/>
    <w:rsid w:val="00BE71C2"/>
    <w:rsid w:val="00BF080E"/>
    <w:rsid w:val="00C1716B"/>
    <w:rsid w:val="00C24A0E"/>
    <w:rsid w:val="00C256CC"/>
    <w:rsid w:val="00C30818"/>
    <w:rsid w:val="00C51E14"/>
    <w:rsid w:val="00C62979"/>
    <w:rsid w:val="00C73E75"/>
    <w:rsid w:val="00C959B5"/>
    <w:rsid w:val="00CA0B7F"/>
    <w:rsid w:val="00CB76E0"/>
    <w:rsid w:val="00CD34BB"/>
    <w:rsid w:val="00CD7EB6"/>
    <w:rsid w:val="00D17411"/>
    <w:rsid w:val="00D25627"/>
    <w:rsid w:val="00D33243"/>
    <w:rsid w:val="00D56CA7"/>
    <w:rsid w:val="00D5731D"/>
    <w:rsid w:val="00D710B8"/>
    <w:rsid w:val="00D85AD2"/>
    <w:rsid w:val="00D91032"/>
    <w:rsid w:val="00D91598"/>
    <w:rsid w:val="00D91615"/>
    <w:rsid w:val="00D91924"/>
    <w:rsid w:val="00D936AF"/>
    <w:rsid w:val="00DB2E39"/>
    <w:rsid w:val="00DC47E7"/>
    <w:rsid w:val="00DD27B9"/>
    <w:rsid w:val="00DE4AE1"/>
    <w:rsid w:val="00DF1A95"/>
    <w:rsid w:val="00E16419"/>
    <w:rsid w:val="00E20A7F"/>
    <w:rsid w:val="00E23211"/>
    <w:rsid w:val="00E245D6"/>
    <w:rsid w:val="00E42696"/>
    <w:rsid w:val="00E4348D"/>
    <w:rsid w:val="00E44BB9"/>
    <w:rsid w:val="00E45643"/>
    <w:rsid w:val="00E539C4"/>
    <w:rsid w:val="00E5554C"/>
    <w:rsid w:val="00E55F05"/>
    <w:rsid w:val="00E567C5"/>
    <w:rsid w:val="00E7102A"/>
    <w:rsid w:val="00E72923"/>
    <w:rsid w:val="00EA5362"/>
    <w:rsid w:val="00EB579E"/>
    <w:rsid w:val="00EB5CF6"/>
    <w:rsid w:val="00ED5A67"/>
    <w:rsid w:val="00F24EDE"/>
    <w:rsid w:val="00F26593"/>
    <w:rsid w:val="00F26DF3"/>
    <w:rsid w:val="00F333D3"/>
    <w:rsid w:val="00F341FC"/>
    <w:rsid w:val="00F351AD"/>
    <w:rsid w:val="00F466BA"/>
    <w:rsid w:val="00F51E5C"/>
    <w:rsid w:val="00F54F59"/>
    <w:rsid w:val="00F569C4"/>
    <w:rsid w:val="00F60075"/>
    <w:rsid w:val="00F774EF"/>
    <w:rsid w:val="00F85105"/>
    <w:rsid w:val="00F856D8"/>
    <w:rsid w:val="00FA2219"/>
    <w:rsid w:val="00FC0329"/>
    <w:rsid w:val="00FD0105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643B-0F6C-4D1B-AC45-39744B5C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CFB"/>
    <w:rPr>
      <w:color w:val="0000FF"/>
      <w:u w:val="single"/>
    </w:rPr>
  </w:style>
  <w:style w:type="paragraph" w:customStyle="1" w:styleId="ConsPlusNormal">
    <w:name w:val="ConsPlusNormal"/>
    <w:rsid w:val="0075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EF"/>
    <w:rPr>
      <w:rFonts w:ascii="Segoe UI" w:hAnsi="Segoe UI" w:cs="Segoe UI"/>
      <w:sz w:val="18"/>
      <w:szCs w:val="18"/>
    </w:rPr>
  </w:style>
  <w:style w:type="paragraph" w:customStyle="1" w:styleId="a6">
    <w:name w:val="Шапка(паспорт) документа"/>
    <w:basedOn w:val="a7"/>
    <w:rsid w:val="00DB2E39"/>
    <w:pPr>
      <w:contextualSpacing w:val="0"/>
      <w:jc w:val="center"/>
    </w:pPr>
    <w:rPr>
      <w:rFonts w:ascii="Arial" w:eastAsia="Times New Roman" w:hAnsi="Arial" w:cs="Arial"/>
      <w:b/>
      <w:spacing w:val="0"/>
      <w:kern w:val="0"/>
      <w:sz w:val="24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B2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B2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D9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NorbelPC</dc:creator>
  <cp:lastModifiedBy>Зайцева Людмила Владимировна</cp:lastModifiedBy>
  <cp:revision>2</cp:revision>
  <cp:lastPrinted>2024-06-13T11:33:00Z</cp:lastPrinted>
  <dcterms:created xsi:type="dcterms:W3CDTF">2024-06-17T10:46:00Z</dcterms:created>
  <dcterms:modified xsi:type="dcterms:W3CDTF">2024-06-17T10:46:00Z</dcterms:modified>
</cp:coreProperties>
</file>