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7E7239" w:rsidRDefault="007E7239" w:rsidP="007E7239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1</w:t>
            </w:r>
          </w:p>
          <w:p w:rsidR="007E7239" w:rsidRDefault="007E7239" w:rsidP="007E7239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7E7239" w:rsidRDefault="007E7239" w:rsidP="007E7239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5C0B39" w:rsidRPr="00FA7550" w:rsidRDefault="007E7239" w:rsidP="007E7239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107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5E659C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793869">
        <w:t xml:space="preserve">кадастровый номер: </w:t>
      </w:r>
      <w:r w:rsidR="005E659C" w:rsidRPr="005E659C">
        <w:rPr>
          <w:sz w:val="22"/>
          <w:szCs w:val="22"/>
          <w:lang w:eastAsia="en-US"/>
        </w:rPr>
        <w:t>71:21:050112:30</w:t>
      </w:r>
      <w:r w:rsidR="001857BA">
        <w:rPr>
          <w:sz w:val="22"/>
          <w:szCs w:val="22"/>
          <w:lang w:eastAsia="en-US"/>
        </w:rPr>
        <w:t>9</w:t>
      </w:r>
      <w:r w:rsidR="00CF6696" w:rsidRPr="005E659C">
        <w:rPr>
          <w:sz w:val="22"/>
          <w:szCs w:val="22"/>
        </w:rPr>
        <w:t>;</w:t>
      </w:r>
    </w:p>
    <w:p w:rsidR="00CF6696" w:rsidRPr="005E659C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proofErr w:type="gramStart"/>
      <w:r w:rsidRPr="005E659C">
        <w:rPr>
          <w:sz w:val="22"/>
          <w:szCs w:val="22"/>
        </w:rPr>
        <w:t xml:space="preserve">площадь  </w:t>
      </w:r>
      <w:r w:rsidR="005E659C" w:rsidRPr="005E659C">
        <w:rPr>
          <w:sz w:val="22"/>
          <w:szCs w:val="22"/>
        </w:rPr>
        <w:t>2500</w:t>
      </w:r>
      <w:proofErr w:type="gramEnd"/>
      <w:r w:rsidRPr="005E659C">
        <w:rPr>
          <w:sz w:val="22"/>
          <w:szCs w:val="22"/>
        </w:rPr>
        <w:t xml:space="preserve"> </w:t>
      </w:r>
      <w:proofErr w:type="spellStart"/>
      <w:r w:rsidRPr="005E659C">
        <w:rPr>
          <w:sz w:val="22"/>
          <w:szCs w:val="22"/>
        </w:rPr>
        <w:t>кв.м</w:t>
      </w:r>
      <w:proofErr w:type="spellEnd"/>
      <w:r w:rsidRPr="005E659C">
        <w:rPr>
          <w:sz w:val="22"/>
          <w:szCs w:val="22"/>
        </w:rPr>
        <w:t>.</w:t>
      </w:r>
    </w:p>
    <w:p w:rsidR="003F7C11" w:rsidRPr="005E659C" w:rsidRDefault="005E659C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  <w:rPr>
          <w:sz w:val="22"/>
          <w:szCs w:val="22"/>
        </w:rPr>
      </w:pPr>
      <w:r w:rsidRPr="005E659C">
        <w:rPr>
          <w:sz w:val="22"/>
          <w:szCs w:val="22"/>
        </w:rPr>
        <w:t xml:space="preserve">  </w:t>
      </w:r>
      <w:r w:rsidR="005C0B39" w:rsidRPr="005E659C">
        <w:rPr>
          <w:sz w:val="22"/>
          <w:szCs w:val="22"/>
        </w:rPr>
        <w:t xml:space="preserve">местоположение: </w:t>
      </w:r>
      <w:r w:rsidRPr="005E659C">
        <w:rPr>
          <w:sz w:val="22"/>
          <w:szCs w:val="22"/>
        </w:rPr>
        <w:t xml:space="preserve">Тульская </w:t>
      </w:r>
      <w:proofErr w:type="gramStart"/>
      <w:r w:rsidRPr="005E659C">
        <w:rPr>
          <w:sz w:val="22"/>
          <w:szCs w:val="22"/>
        </w:rPr>
        <w:t xml:space="preserve">область,  </w:t>
      </w:r>
      <w:proofErr w:type="spellStart"/>
      <w:r w:rsidRPr="005E659C">
        <w:rPr>
          <w:sz w:val="22"/>
          <w:szCs w:val="22"/>
        </w:rPr>
        <w:t>Чернский</w:t>
      </w:r>
      <w:proofErr w:type="spellEnd"/>
      <w:proofErr w:type="gramEnd"/>
      <w:r w:rsidRPr="005E659C">
        <w:rPr>
          <w:sz w:val="22"/>
          <w:szCs w:val="22"/>
        </w:rPr>
        <w:t xml:space="preserve"> район, МО </w:t>
      </w:r>
      <w:proofErr w:type="spellStart"/>
      <w:r w:rsidRPr="005E659C">
        <w:rPr>
          <w:sz w:val="22"/>
          <w:szCs w:val="22"/>
        </w:rPr>
        <w:t>р.п.Чернь</w:t>
      </w:r>
      <w:proofErr w:type="spellEnd"/>
      <w:r w:rsidRPr="005E659C">
        <w:rPr>
          <w:sz w:val="22"/>
          <w:szCs w:val="22"/>
        </w:rPr>
        <w:t xml:space="preserve">, </w:t>
      </w:r>
      <w:proofErr w:type="spellStart"/>
      <w:r w:rsidRPr="005E659C">
        <w:rPr>
          <w:sz w:val="22"/>
          <w:szCs w:val="22"/>
        </w:rPr>
        <w:t>п.Чернь</w:t>
      </w:r>
      <w:proofErr w:type="spellEnd"/>
      <w:r w:rsidRPr="005E659C">
        <w:rPr>
          <w:sz w:val="22"/>
          <w:szCs w:val="22"/>
        </w:rPr>
        <w:t xml:space="preserve">, </w:t>
      </w:r>
      <w:proofErr w:type="spellStart"/>
      <w:r w:rsidRPr="005E659C">
        <w:rPr>
          <w:sz w:val="22"/>
          <w:szCs w:val="22"/>
        </w:rPr>
        <w:t>ул.Ветеранов</w:t>
      </w:r>
      <w:proofErr w:type="spellEnd"/>
      <w:r w:rsidRPr="005E659C">
        <w:rPr>
          <w:sz w:val="22"/>
          <w:szCs w:val="22"/>
        </w:rPr>
        <w:t xml:space="preserve">, в </w:t>
      </w:r>
      <w:r w:rsidR="001857BA">
        <w:rPr>
          <w:sz w:val="22"/>
          <w:szCs w:val="22"/>
        </w:rPr>
        <w:t xml:space="preserve"> 90</w:t>
      </w:r>
      <w:r w:rsidRPr="005E659C">
        <w:rPr>
          <w:sz w:val="22"/>
          <w:szCs w:val="22"/>
        </w:rPr>
        <w:t xml:space="preserve"> метрах на юго-восток от д.16</w:t>
      </w:r>
      <w:r w:rsidR="003F7C11" w:rsidRPr="005E659C">
        <w:rPr>
          <w:sz w:val="22"/>
          <w:szCs w:val="22"/>
        </w:rPr>
        <w:t>;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7C11">
        <w:t>для</w:t>
      </w:r>
      <w:r w:rsidR="00866AD9">
        <w:t xml:space="preserve"> </w:t>
      </w:r>
      <w:r w:rsidR="00A36874">
        <w:t xml:space="preserve"> индивидуального</w:t>
      </w:r>
      <w:proofErr w:type="gramEnd"/>
      <w:r w:rsidR="005E659C">
        <w:t xml:space="preserve"> жилищного строительства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5E659C">
        <w:t>20</w:t>
      </w:r>
      <w:r w:rsidR="00CF6696" w:rsidRPr="00F847C0">
        <w:t xml:space="preserve"> (</w:t>
      </w:r>
      <w:r w:rsidR="005E659C">
        <w:t>Двадцать)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Передача прав и обязанностей Арендатора по договору в пределах срока </w:t>
      </w:r>
      <w:r>
        <w:lastRenderedPageBreak/>
        <w:t>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По требованию одной из сторон при расторжении договора или отказе от </w:t>
      </w:r>
      <w:r>
        <w:lastRenderedPageBreak/>
        <w:t>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480" w:rsidRDefault="00326480">
      <w:r>
        <w:separator/>
      </w:r>
    </w:p>
  </w:endnote>
  <w:endnote w:type="continuationSeparator" w:id="0">
    <w:p w:rsidR="00326480" w:rsidRDefault="00326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480" w:rsidRDefault="00326480">
      <w:r>
        <w:separator/>
      </w:r>
    </w:p>
  </w:footnote>
  <w:footnote w:type="continuationSeparator" w:id="0">
    <w:p w:rsidR="00326480" w:rsidRDefault="00326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202" w:rsidRDefault="00E92202">
    <w:pPr>
      <w:pStyle w:val="a3"/>
      <w:jc w:val="center"/>
    </w:pPr>
  </w:p>
  <w:p w:rsidR="00473196" w:rsidRDefault="0032648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23D53"/>
    <w:rsid w:val="00180182"/>
    <w:rsid w:val="001857BA"/>
    <w:rsid w:val="002A65EF"/>
    <w:rsid w:val="002D76B2"/>
    <w:rsid w:val="002D76B6"/>
    <w:rsid w:val="00326480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5E659C"/>
    <w:rsid w:val="00632DCD"/>
    <w:rsid w:val="006D0CAF"/>
    <w:rsid w:val="00750846"/>
    <w:rsid w:val="00793869"/>
    <w:rsid w:val="007A1D02"/>
    <w:rsid w:val="007E7239"/>
    <w:rsid w:val="008356F6"/>
    <w:rsid w:val="00866AD9"/>
    <w:rsid w:val="00872255"/>
    <w:rsid w:val="008C166F"/>
    <w:rsid w:val="008D4FE4"/>
    <w:rsid w:val="00905097"/>
    <w:rsid w:val="00986803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DF2AC2"/>
    <w:rsid w:val="00E30ADD"/>
    <w:rsid w:val="00E4548B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25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2454</Words>
  <Characters>13993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51</cp:revision>
  <cp:lastPrinted>2025-02-11T15:01:00Z</cp:lastPrinted>
  <dcterms:created xsi:type="dcterms:W3CDTF">2023-03-03T08:26:00Z</dcterms:created>
  <dcterms:modified xsi:type="dcterms:W3CDTF">2025-02-13T13:31:00Z</dcterms:modified>
</cp:coreProperties>
</file>