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C3" w:rsidRPr="00497557" w:rsidRDefault="001C47C3" w:rsidP="001C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88D8557" wp14:editId="484143BB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1C47C3" w:rsidRPr="00497557" w:rsidRDefault="001C47C3" w:rsidP="001C4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7C3" w:rsidRPr="00C1729F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47C3" w:rsidRPr="002A03C1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7C3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1</w:t>
      </w:r>
      <w:r w:rsidR="00FE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года»</w:t>
      </w:r>
    </w:p>
    <w:p w:rsidR="00E72434" w:rsidRPr="00E72434" w:rsidRDefault="00E72434" w:rsidP="009F1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Чернь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F12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12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B31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</w:t>
      </w:r>
      <w:r w:rsidR="00F3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статьи 9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и дополнениями),  Положением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Липицкое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утверждённого Собранием </w:t>
      </w:r>
      <w:r w:rsidR="0016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Чернского района 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31.01.2019 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исследование фактического исполнения </w:t>
      </w:r>
      <w:r w:rsidR="008600B8" w:rsidRPr="008600B8">
        <w:rPr>
          <w:rFonts w:ascii="Times New Roman" w:hAnsi="Times New Roman" w:cs="Times New Roman"/>
          <w:sz w:val="28"/>
          <w:szCs w:val="28"/>
        </w:rPr>
        <w:t>и контроля за организацией исполнения бюджета</w:t>
      </w:r>
      <w:r w:rsidR="008600B8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Липицкое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 экспертизы: 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E72434" w:rsidRPr="00E72434" w:rsidRDefault="001205A2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предложений по их устранению.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EB1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33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1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Липицкое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50D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46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7CBB" w:rsidRPr="00237CBB" w:rsidRDefault="00237CBB" w:rsidP="00237CBB">
      <w:pPr>
        <w:pStyle w:val="30"/>
        <w:keepNext/>
        <w:keepLines/>
        <w:shd w:val="clear" w:color="auto" w:fill="auto"/>
        <w:tabs>
          <w:tab w:val="left" w:pos="1623"/>
        </w:tabs>
        <w:spacing w:after="274"/>
        <w:rPr>
          <w:b/>
          <w:sz w:val="28"/>
          <w:szCs w:val="28"/>
        </w:rPr>
      </w:pPr>
      <w:bookmarkStart w:id="0" w:name="bookmark7"/>
      <w:r w:rsidRPr="00237CBB">
        <w:rPr>
          <w:b/>
          <w:sz w:val="28"/>
          <w:szCs w:val="28"/>
        </w:rPr>
        <w:t>Общая характеристика исполнения бюджета за 1</w:t>
      </w:r>
      <w:r w:rsidR="00EB146F">
        <w:rPr>
          <w:b/>
          <w:sz w:val="28"/>
          <w:szCs w:val="28"/>
        </w:rPr>
        <w:t xml:space="preserve">-е полугодие </w:t>
      </w:r>
      <w:r w:rsidRPr="00237CBB">
        <w:rPr>
          <w:b/>
          <w:sz w:val="28"/>
          <w:szCs w:val="28"/>
        </w:rPr>
        <w:t>202</w:t>
      </w:r>
      <w:r w:rsidR="001C47C3">
        <w:rPr>
          <w:b/>
          <w:sz w:val="28"/>
          <w:szCs w:val="28"/>
        </w:rPr>
        <w:t>3</w:t>
      </w:r>
      <w:r w:rsidRPr="00237CBB">
        <w:rPr>
          <w:b/>
          <w:sz w:val="28"/>
          <w:szCs w:val="28"/>
        </w:rPr>
        <w:t xml:space="preserve"> года</w:t>
      </w:r>
      <w:bookmarkEnd w:id="0"/>
    </w:p>
    <w:p w:rsidR="00E72434" w:rsidRPr="00E72434" w:rsidRDefault="00237CBB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статьёй 57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Липицкое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 утверждённого Собранием представителей муниципа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Липицко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от 31.01.2019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статьёй 264.2 Бюджетного кодекса РФ, отчёт об исполнении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Липицкое Чернского района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года №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47C3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муницип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Липицкое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FE04E0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 (</w:t>
      </w:r>
      <w:r w:rsidR="009A2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0.07.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 №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 подготовке настоящего заключения использованы следующие документы: </w:t>
      </w:r>
    </w:p>
    <w:p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E72434" w:rsidRPr="00E72434" w:rsidRDefault="001A1DE6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Липицкое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за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FE04E0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FE04E0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1DE6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задолженности за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FE04E0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муниципальных программ МО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1A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E04E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FE04E0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DEE" w:rsidRPr="006A5DEE" w:rsidRDefault="006A5DEE" w:rsidP="006A5D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5DE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>
        <w:rPr>
          <w:rFonts w:ascii="Times New Roman" w:hAnsi="Times New Roman" w:cs="Times New Roman"/>
          <w:sz w:val="28"/>
          <w:szCs w:val="28"/>
        </w:rPr>
        <w:t>Липицкое   Чернского района от 2</w:t>
      </w:r>
      <w:r w:rsidR="00285760">
        <w:rPr>
          <w:rFonts w:ascii="Times New Roman" w:hAnsi="Times New Roman" w:cs="Times New Roman"/>
          <w:sz w:val="28"/>
          <w:szCs w:val="28"/>
        </w:rPr>
        <w:t>6</w:t>
      </w:r>
      <w:r w:rsidR="00B574D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85760">
        <w:rPr>
          <w:rFonts w:ascii="Times New Roman" w:hAnsi="Times New Roman" w:cs="Times New Roman"/>
          <w:sz w:val="28"/>
          <w:szCs w:val="28"/>
        </w:rPr>
        <w:t>2</w:t>
      </w:r>
      <w:r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285760">
        <w:rPr>
          <w:rFonts w:ascii="Times New Roman" w:hAnsi="Times New Roman" w:cs="Times New Roman"/>
          <w:sz w:val="28"/>
          <w:szCs w:val="28"/>
        </w:rPr>
        <w:t>52</w:t>
      </w:r>
      <w:r w:rsidR="007D25BF">
        <w:rPr>
          <w:rFonts w:ascii="Times New Roman" w:hAnsi="Times New Roman" w:cs="Times New Roman"/>
          <w:sz w:val="28"/>
          <w:szCs w:val="28"/>
        </w:rPr>
        <w:t>-1</w:t>
      </w:r>
      <w:r w:rsidR="00285760">
        <w:rPr>
          <w:rFonts w:ascii="Times New Roman" w:hAnsi="Times New Roman" w:cs="Times New Roman"/>
          <w:sz w:val="28"/>
          <w:szCs w:val="28"/>
        </w:rPr>
        <w:t>55</w:t>
      </w:r>
      <w:r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Липицкое</w:t>
      </w:r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285760">
        <w:rPr>
          <w:rFonts w:ascii="Times New Roman" w:hAnsi="Times New Roman" w:cs="Times New Roman"/>
          <w:sz w:val="28"/>
          <w:szCs w:val="28"/>
        </w:rPr>
        <w:t>3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5760">
        <w:rPr>
          <w:rFonts w:ascii="Times New Roman" w:hAnsi="Times New Roman" w:cs="Times New Roman"/>
          <w:sz w:val="28"/>
          <w:szCs w:val="28"/>
        </w:rPr>
        <w:t>4</w:t>
      </w:r>
      <w:r w:rsidRPr="006A5DEE">
        <w:rPr>
          <w:rFonts w:ascii="Times New Roman" w:hAnsi="Times New Roman" w:cs="Times New Roman"/>
          <w:sz w:val="28"/>
          <w:szCs w:val="28"/>
        </w:rPr>
        <w:t>-202</w:t>
      </w:r>
      <w:r w:rsidR="00285760">
        <w:rPr>
          <w:rFonts w:ascii="Times New Roman" w:hAnsi="Times New Roman" w:cs="Times New Roman"/>
          <w:sz w:val="28"/>
          <w:szCs w:val="28"/>
        </w:rPr>
        <w:t>5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Липицкое</w:t>
      </w:r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285760">
        <w:rPr>
          <w:rFonts w:ascii="Times New Roman" w:hAnsi="Times New Roman" w:cs="Times New Roman"/>
          <w:sz w:val="28"/>
          <w:szCs w:val="28"/>
        </w:rPr>
        <w:t>3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сумме   </w:t>
      </w:r>
      <w:r w:rsidR="00285760">
        <w:rPr>
          <w:rFonts w:ascii="Times New Roman" w:eastAsia="Times New Roman" w:hAnsi="Times New Roman" w:cs="Times New Roman"/>
          <w:sz w:val="28"/>
          <w:szCs w:val="28"/>
        </w:rPr>
        <w:t>202 084,1</w:t>
      </w:r>
      <w:r w:rsidR="007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F37">
        <w:rPr>
          <w:rFonts w:ascii="Times New Roman" w:hAnsi="Times New Roman" w:cs="Times New Roman"/>
          <w:sz w:val="28"/>
          <w:szCs w:val="28"/>
        </w:rPr>
        <w:t>тыс. руб.</w:t>
      </w:r>
    </w:p>
    <w:p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сумме   </w:t>
      </w:r>
      <w:r w:rsidR="00285760">
        <w:rPr>
          <w:rFonts w:ascii="Times New Roman" w:hAnsi="Times New Roman" w:cs="Times New Roman"/>
          <w:sz w:val="28"/>
          <w:szCs w:val="28"/>
        </w:rPr>
        <w:t>202 084</w:t>
      </w:r>
      <w:r w:rsidR="007D25BF">
        <w:rPr>
          <w:rFonts w:ascii="Times New Roman" w:hAnsi="Times New Roman" w:cs="Times New Roman"/>
          <w:sz w:val="28"/>
          <w:szCs w:val="28"/>
        </w:rPr>
        <w:t>,1</w:t>
      </w:r>
      <w:r w:rsidRPr="00AA7F3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37CBB" w:rsidRPr="001C4A3C" w:rsidRDefault="001C4A3C" w:rsidP="001C4A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>(изменения вносились один раз</w:t>
      </w:r>
      <w:r w:rsidR="00237CBB" w:rsidRPr="001C4A3C">
        <w:rPr>
          <w:rFonts w:ascii="Times New Roman" w:hAnsi="Times New Roman" w:cs="Times New Roman"/>
          <w:sz w:val="28"/>
          <w:szCs w:val="28"/>
        </w:rPr>
        <w:t>) в доходы и расходы бюджета муниципального образования Липицкое Чернского района годовой план по состоянию на 01.0</w:t>
      </w:r>
      <w:r w:rsidR="00EB146F">
        <w:rPr>
          <w:rFonts w:ascii="Times New Roman" w:hAnsi="Times New Roman" w:cs="Times New Roman"/>
          <w:sz w:val="28"/>
          <w:szCs w:val="28"/>
        </w:rPr>
        <w:t>7</w:t>
      </w:r>
      <w:r w:rsidR="00237CBB" w:rsidRPr="001C4A3C">
        <w:rPr>
          <w:rFonts w:ascii="Times New Roman" w:hAnsi="Times New Roman" w:cs="Times New Roman"/>
          <w:sz w:val="28"/>
          <w:szCs w:val="28"/>
        </w:rPr>
        <w:t>.202</w:t>
      </w:r>
      <w:r w:rsidR="00285760">
        <w:rPr>
          <w:rFonts w:ascii="Times New Roman" w:hAnsi="Times New Roman" w:cs="Times New Roman"/>
          <w:sz w:val="28"/>
          <w:szCs w:val="28"/>
        </w:rPr>
        <w:t>3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:rsidR="00AA7F37" w:rsidRP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Pr="00603985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285760">
        <w:rPr>
          <w:rFonts w:ascii="Times New Roman" w:hAnsi="Times New Roman" w:cs="Times New Roman"/>
          <w:sz w:val="28"/>
          <w:szCs w:val="28"/>
        </w:rPr>
        <w:t>202 084,1</w:t>
      </w:r>
      <w:r w:rsidR="00603985">
        <w:rPr>
          <w:rFonts w:ascii="Times New Roman" w:hAnsi="Times New Roman" w:cs="Times New Roman"/>
          <w:sz w:val="28"/>
          <w:szCs w:val="28"/>
        </w:rPr>
        <w:t xml:space="preserve"> </w:t>
      </w:r>
      <w:r w:rsidRPr="00603985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руб.</w:t>
      </w:r>
    </w:p>
    <w:p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</w:t>
      </w:r>
      <w:r w:rsidRPr="0029722B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285760">
        <w:rPr>
          <w:rFonts w:ascii="Times New Roman" w:hAnsi="Times New Roman" w:cs="Times New Roman"/>
          <w:sz w:val="28"/>
          <w:szCs w:val="28"/>
        </w:rPr>
        <w:t>202 484,1</w:t>
      </w:r>
      <w:r w:rsidR="0029722B">
        <w:rPr>
          <w:rFonts w:ascii="Times New Roman" w:hAnsi="Times New Roman" w:cs="Times New Roman"/>
          <w:sz w:val="28"/>
          <w:szCs w:val="28"/>
        </w:rPr>
        <w:t xml:space="preserve"> </w:t>
      </w:r>
      <w:r w:rsidRPr="0029722B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руб.</w:t>
      </w:r>
    </w:p>
    <w:p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в сумме </w:t>
      </w:r>
      <w:r w:rsidR="00285760">
        <w:rPr>
          <w:rFonts w:ascii="Times New Roman" w:hAnsi="Times New Roman" w:cs="Times New Roman"/>
          <w:sz w:val="28"/>
          <w:szCs w:val="28"/>
        </w:rPr>
        <w:t>400</w:t>
      </w:r>
      <w:r w:rsidR="001A575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AA7F37" w:rsidRDefault="00AA7F37" w:rsidP="00AA7F37">
      <w:pPr>
        <w:pStyle w:val="20"/>
        <w:shd w:val="clear" w:color="auto" w:fill="auto"/>
        <w:spacing w:before="0" w:after="0" w:line="266" w:lineRule="exact"/>
        <w:ind w:left="2149" w:firstLine="0"/>
      </w:pPr>
    </w:p>
    <w:p w:rsidR="008727A9" w:rsidRDefault="003713AF" w:rsidP="008727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27A9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 w:rsidR="008727A9">
        <w:rPr>
          <w:rFonts w:ascii="Times New Roman" w:hAnsi="Times New Roman" w:cs="Times New Roman"/>
          <w:sz w:val="28"/>
          <w:szCs w:val="28"/>
        </w:rPr>
        <w:t>Липицкое</w:t>
      </w:r>
      <w:r w:rsidR="008727A9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8727A9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8727A9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A9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не соответствуют уточненному бюджету 202</w:t>
      </w:r>
      <w:r w:rsidR="008727A9">
        <w:rPr>
          <w:rFonts w:ascii="Times New Roman" w:hAnsi="Times New Roman" w:cs="Times New Roman"/>
          <w:sz w:val="28"/>
          <w:szCs w:val="28"/>
        </w:rPr>
        <w:t>3</w:t>
      </w:r>
      <w:r w:rsidR="008727A9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 w:rsidR="008727A9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8727A9" w:rsidRPr="008F61E7">
        <w:rPr>
          <w:rFonts w:ascii="Times New Roman" w:hAnsi="Times New Roman" w:cs="Times New Roman"/>
          <w:sz w:val="28"/>
          <w:szCs w:val="28"/>
        </w:rPr>
        <w:t xml:space="preserve">Чернского района   от </w:t>
      </w:r>
      <w:r w:rsidR="008727A9">
        <w:rPr>
          <w:rFonts w:ascii="Times New Roman" w:hAnsi="Times New Roman" w:cs="Times New Roman"/>
          <w:sz w:val="28"/>
          <w:szCs w:val="28"/>
        </w:rPr>
        <w:t>31</w:t>
      </w:r>
      <w:r w:rsidR="008727A9" w:rsidRPr="008F61E7">
        <w:rPr>
          <w:rFonts w:ascii="Times New Roman" w:eastAsia="Calibri" w:hAnsi="Times New Roman" w:cs="Times New Roman"/>
          <w:sz w:val="28"/>
          <w:szCs w:val="28"/>
        </w:rPr>
        <w:t>.03.202</w:t>
      </w:r>
      <w:r w:rsidR="008727A9">
        <w:rPr>
          <w:rFonts w:ascii="Times New Roman" w:eastAsia="Calibri" w:hAnsi="Times New Roman" w:cs="Times New Roman"/>
          <w:sz w:val="28"/>
          <w:szCs w:val="28"/>
        </w:rPr>
        <w:t>3</w:t>
      </w:r>
      <w:r w:rsidR="008727A9" w:rsidRPr="008F61E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727A9">
        <w:rPr>
          <w:rFonts w:ascii="Times New Roman" w:eastAsia="Calibri" w:hAnsi="Times New Roman" w:cs="Times New Roman"/>
          <w:sz w:val="28"/>
          <w:szCs w:val="28"/>
        </w:rPr>
        <w:t>56</w:t>
      </w:r>
      <w:r w:rsidR="008727A9" w:rsidRPr="008F61E7">
        <w:rPr>
          <w:rFonts w:ascii="Times New Roman" w:eastAsia="Calibri" w:hAnsi="Times New Roman" w:cs="Times New Roman"/>
          <w:sz w:val="28"/>
          <w:szCs w:val="28"/>
        </w:rPr>
        <w:t>-1</w:t>
      </w:r>
      <w:r w:rsidR="008727A9">
        <w:rPr>
          <w:rFonts w:ascii="Times New Roman" w:eastAsia="Calibri" w:hAnsi="Times New Roman" w:cs="Times New Roman"/>
          <w:sz w:val="28"/>
          <w:szCs w:val="28"/>
        </w:rPr>
        <w:t>74</w:t>
      </w:r>
      <w:r w:rsidR="008727A9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8727A9">
        <w:rPr>
          <w:rFonts w:ascii="Times New Roman" w:hAnsi="Times New Roman" w:cs="Times New Roman"/>
          <w:sz w:val="28"/>
          <w:szCs w:val="28"/>
        </w:rPr>
        <w:t>Липицкое   Чернского района от 26 декабря 2022</w:t>
      </w:r>
      <w:r w:rsidR="008727A9"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8727A9">
        <w:rPr>
          <w:rFonts w:ascii="Times New Roman" w:hAnsi="Times New Roman" w:cs="Times New Roman"/>
          <w:sz w:val="28"/>
          <w:szCs w:val="28"/>
        </w:rPr>
        <w:t>52-155</w:t>
      </w:r>
      <w:r w:rsidR="008727A9"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8727A9">
        <w:rPr>
          <w:rFonts w:ascii="Times New Roman" w:hAnsi="Times New Roman" w:cs="Times New Roman"/>
          <w:sz w:val="28"/>
          <w:szCs w:val="28"/>
        </w:rPr>
        <w:t>Липицкое</w:t>
      </w:r>
      <w:r w:rsidR="008727A9"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8727A9">
        <w:rPr>
          <w:rFonts w:ascii="Times New Roman" w:hAnsi="Times New Roman" w:cs="Times New Roman"/>
          <w:sz w:val="28"/>
          <w:szCs w:val="28"/>
        </w:rPr>
        <w:t>3</w:t>
      </w:r>
      <w:r w:rsidR="008727A9"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27A9">
        <w:rPr>
          <w:rFonts w:ascii="Times New Roman" w:hAnsi="Times New Roman" w:cs="Times New Roman"/>
          <w:sz w:val="28"/>
          <w:szCs w:val="28"/>
        </w:rPr>
        <w:t>4</w:t>
      </w:r>
      <w:r w:rsidR="008727A9" w:rsidRPr="006A5DEE">
        <w:rPr>
          <w:rFonts w:ascii="Times New Roman" w:hAnsi="Times New Roman" w:cs="Times New Roman"/>
          <w:sz w:val="28"/>
          <w:szCs w:val="28"/>
        </w:rPr>
        <w:t>-202</w:t>
      </w:r>
      <w:r w:rsidR="008727A9">
        <w:rPr>
          <w:rFonts w:ascii="Times New Roman" w:hAnsi="Times New Roman" w:cs="Times New Roman"/>
          <w:sz w:val="28"/>
          <w:szCs w:val="28"/>
        </w:rPr>
        <w:t>5</w:t>
      </w:r>
      <w:r w:rsidR="008727A9" w:rsidRPr="006A5D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27A9" w:rsidRPr="008F61E7">
        <w:rPr>
          <w:rFonts w:ascii="Times New Roman" w:hAnsi="Times New Roman" w:cs="Times New Roman"/>
          <w:sz w:val="28"/>
          <w:szCs w:val="28"/>
        </w:rPr>
        <w:t>»</w:t>
      </w:r>
      <w:r w:rsidR="00021246">
        <w:rPr>
          <w:rFonts w:ascii="Times New Roman" w:hAnsi="Times New Roman" w:cs="Times New Roman"/>
          <w:sz w:val="28"/>
          <w:szCs w:val="28"/>
        </w:rPr>
        <w:t>»</w:t>
      </w:r>
      <w:r w:rsidR="008727A9">
        <w:rPr>
          <w:rFonts w:ascii="Times New Roman" w:hAnsi="Times New Roman" w:cs="Times New Roman"/>
          <w:sz w:val="28"/>
          <w:szCs w:val="28"/>
        </w:rPr>
        <w:t>.</w:t>
      </w:r>
    </w:p>
    <w:p w:rsidR="008727A9" w:rsidRPr="008F61E7" w:rsidRDefault="008727A9" w:rsidP="008727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:rsidR="008727A9" w:rsidRPr="009A63BB" w:rsidRDefault="008727A9" w:rsidP="008727A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727A9" w:rsidRDefault="008727A9" w:rsidP="008727A9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p w:rsidR="008727A9" w:rsidRPr="009A63BB" w:rsidRDefault="008727A9" w:rsidP="008727A9">
      <w:pPr>
        <w:pStyle w:val="ab"/>
        <w:jc w:val="right"/>
        <w:rPr>
          <w:rFonts w:ascii="Times New Roman" w:eastAsia="Calibri" w:hAnsi="Times New Roman" w:cs="Times New Roman"/>
          <w:i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01"/>
        <w:gridCol w:w="1682"/>
        <w:gridCol w:w="1940"/>
        <w:gridCol w:w="1690"/>
        <w:gridCol w:w="1409"/>
      </w:tblGrid>
      <w:tr w:rsidR="008727A9" w:rsidRPr="00E053D4" w:rsidTr="008727A9">
        <w:trPr>
          <w:trHeight w:val="445"/>
        </w:trPr>
        <w:tc>
          <w:tcPr>
            <w:tcW w:w="1336" w:type="dxa"/>
            <w:vMerge w:val="restart"/>
          </w:tcPr>
          <w:p w:rsidR="008727A9" w:rsidRPr="00E053D4" w:rsidRDefault="008727A9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01" w:type="dxa"/>
            <w:vMerge w:val="restart"/>
          </w:tcPr>
          <w:p w:rsidR="008727A9" w:rsidRPr="00E053D4" w:rsidRDefault="008727A9" w:rsidP="008727A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МО Липицкое на 2023г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52-155)</w:t>
            </w:r>
          </w:p>
        </w:tc>
        <w:tc>
          <w:tcPr>
            <w:tcW w:w="5312" w:type="dxa"/>
            <w:gridSpan w:val="3"/>
          </w:tcPr>
          <w:p w:rsidR="008727A9" w:rsidRPr="00E053D4" w:rsidRDefault="008727A9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Бюджет МО</w:t>
            </w:r>
            <w:r>
              <w:rPr>
                <w:rFonts w:ascii="Times New Roman" w:eastAsia="Calibri" w:hAnsi="Times New Roman" w:cs="Times New Roman"/>
              </w:rPr>
              <w:t xml:space="preserve"> Липицкое</w:t>
            </w:r>
            <w:r w:rsidRPr="0093048D">
              <w:rPr>
                <w:rFonts w:ascii="Times New Roman" w:eastAsia="Calibri" w:hAnsi="Times New Roman" w:cs="Times New Roman"/>
              </w:rPr>
              <w:t xml:space="preserve"> Чернск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93048D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3048D">
              <w:rPr>
                <w:rFonts w:ascii="Times New Roman" w:eastAsia="Calibri" w:hAnsi="Times New Roman" w:cs="Times New Roman"/>
              </w:rPr>
              <w:t xml:space="preserve"> с учетом изменений</w:t>
            </w:r>
          </w:p>
        </w:tc>
        <w:tc>
          <w:tcPr>
            <w:tcW w:w="1409" w:type="dxa"/>
            <w:vMerge w:val="restart"/>
          </w:tcPr>
          <w:p w:rsidR="008727A9" w:rsidRPr="00571403" w:rsidRDefault="008727A9" w:rsidP="000F5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27A9" w:rsidRPr="00E053D4" w:rsidTr="008727A9">
        <w:trPr>
          <w:trHeight w:val="1357"/>
        </w:trPr>
        <w:tc>
          <w:tcPr>
            <w:tcW w:w="1336" w:type="dxa"/>
            <w:vMerge/>
          </w:tcPr>
          <w:p w:rsidR="008727A9" w:rsidRPr="00E053D4" w:rsidRDefault="008727A9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</w:tcPr>
          <w:p w:rsidR="008727A9" w:rsidRDefault="008727A9" w:rsidP="000F5C3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</w:tcPr>
          <w:p w:rsidR="008727A9" w:rsidRDefault="008727A9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Решение от </w:t>
            </w:r>
            <w:r>
              <w:rPr>
                <w:rFonts w:ascii="Times New Roman" w:eastAsia="Calibri" w:hAnsi="Times New Roman" w:cs="Times New Roman"/>
              </w:rPr>
              <w:t>31</w:t>
            </w:r>
            <w:r w:rsidRPr="0093048D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3.2023 №56-174</w:t>
            </w:r>
          </w:p>
        </w:tc>
        <w:tc>
          <w:tcPr>
            <w:tcW w:w="1940" w:type="dxa"/>
          </w:tcPr>
          <w:p w:rsidR="008727A9" w:rsidRDefault="008727A9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Отчет за 1</w:t>
            </w:r>
            <w:r>
              <w:rPr>
                <w:rFonts w:ascii="Times New Roman" w:eastAsia="Calibri" w:hAnsi="Times New Roman" w:cs="Times New Roman"/>
              </w:rPr>
              <w:t>-е полугодие</w:t>
            </w:r>
            <w:r w:rsidRPr="0093048D">
              <w:rPr>
                <w:rFonts w:ascii="Times New Roman" w:eastAsia="Calibri" w:hAnsi="Times New Roman" w:cs="Times New Roman"/>
              </w:rPr>
              <w:t xml:space="preserve"> 2023 г </w:t>
            </w:r>
            <w:r w:rsidRPr="00B904F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690" w:type="dxa"/>
          </w:tcPr>
          <w:p w:rsidR="008727A9" w:rsidRDefault="008727A9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Отклонение (+;-) Плана по отчету к утвержденному бюджету</w:t>
            </w:r>
          </w:p>
        </w:tc>
        <w:tc>
          <w:tcPr>
            <w:tcW w:w="1409" w:type="dxa"/>
            <w:vMerge/>
          </w:tcPr>
          <w:p w:rsidR="008727A9" w:rsidRPr="00571403" w:rsidRDefault="008727A9" w:rsidP="000F5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7A9" w:rsidRPr="00E053D4" w:rsidTr="008727A9">
        <w:tc>
          <w:tcPr>
            <w:tcW w:w="1336" w:type="dxa"/>
          </w:tcPr>
          <w:p w:rsidR="008727A9" w:rsidRPr="00E053D4" w:rsidRDefault="008727A9" w:rsidP="008727A9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401" w:type="dxa"/>
          </w:tcPr>
          <w:p w:rsidR="008727A9" w:rsidRPr="00993CE4" w:rsidRDefault="008727A9" w:rsidP="008727A9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202 084,1</w:t>
            </w:r>
          </w:p>
        </w:tc>
        <w:tc>
          <w:tcPr>
            <w:tcW w:w="1682" w:type="dxa"/>
          </w:tcPr>
          <w:p w:rsidR="008727A9" w:rsidRPr="00993CE4" w:rsidRDefault="00FD55AE" w:rsidP="008727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202 084,1</w:t>
            </w:r>
          </w:p>
        </w:tc>
        <w:tc>
          <w:tcPr>
            <w:tcW w:w="1940" w:type="dxa"/>
          </w:tcPr>
          <w:p w:rsidR="008727A9" w:rsidRPr="00993CE4" w:rsidRDefault="00FD55AE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230 263,0</w:t>
            </w:r>
          </w:p>
        </w:tc>
        <w:tc>
          <w:tcPr>
            <w:tcW w:w="1690" w:type="dxa"/>
          </w:tcPr>
          <w:p w:rsidR="008727A9" w:rsidRPr="00993CE4" w:rsidRDefault="00FD55AE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+28 178,9</w:t>
            </w:r>
          </w:p>
        </w:tc>
        <w:tc>
          <w:tcPr>
            <w:tcW w:w="1409" w:type="dxa"/>
          </w:tcPr>
          <w:p w:rsidR="008727A9" w:rsidRPr="00993CE4" w:rsidRDefault="00FD55AE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8 672,1</w:t>
            </w:r>
          </w:p>
        </w:tc>
      </w:tr>
      <w:tr w:rsidR="008727A9" w:rsidRPr="00E053D4" w:rsidTr="008727A9">
        <w:tc>
          <w:tcPr>
            <w:tcW w:w="1336" w:type="dxa"/>
          </w:tcPr>
          <w:p w:rsidR="008727A9" w:rsidRPr="00E053D4" w:rsidRDefault="008727A9" w:rsidP="008727A9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401" w:type="dxa"/>
          </w:tcPr>
          <w:p w:rsidR="008727A9" w:rsidRPr="00993CE4" w:rsidRDefault="008727A9" w:rsidP="008727A9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202 084,1</w:t>
            </w:r>
          </w:p>
        </w:tc>
        <w:tc>
          <w:tcPr>
            <w:tcW w:w="1682" w:type="dxa"/>
          </w:tcPr>
          <w:p w:rsidR="008727A9" w:rsidRPr="00993CE4" w:rsidRDefault="00FD55AE" w:rsidP="008727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202 484,1</w:t>
            </w:r>
          </w:p>
        </w:tc>
        <w:tc>
          <w:tcPr>
            <w:tcW w:w="1940" w:type="dxa"/>
          </w:tcPr>
          <w:p w:rsidR="008727A9" w:rsidRPr="00993CE4" w:rsidRDefault="00FD55AE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230 663,0</w:t>
            </w:r>
          </w:p>
        </w:tc>
        <w:tc>
          <w:tcPr>
            <w:tcW w:w="1690" w:type="dxa"/>
          </w:tcPr>
          <w:p w:rsidR="008727A9" w:rsidRPr="00993CE4" w:rsidRDefault="008727A9" w:rsidP="00FD55A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FD55AE">
              <w:rPr>
                <w:rFonts w:ascii="Times New Roman" w:eastAsia="Calibri" w:hAnsi="Times New Roman" w:cs="Times New Roman"/>
              </w:rPr>
              <w:t>28 178,9</w:t>
            </w:r>
          </w:p>
        </w:tc>
        <w:tc>
          <w:tcPr>
            <w:tcW w:w="1409" w:type="dxa"/>
          </w:tcPr>
          <w:p w:rsidR="008727A9" w:rsidRPr="00993CE4" w:rsidRDefault="00FD55AE" w:rsidP="008727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8 983,2</w:t>
            </w:r>
          </w:p>
        </w:tc>
      </w:tr>
      <w:tr w:rsidR="008727A9" w:rsidRPr="00E053D4" w:rsidTr="008727A9">
        <w:trPr>
          <w:trHeight w:val="881"/>
        </w:trPr>
        <w:tc>
          <w:tcPr>
            <w:tcW w:w="1336" w:type="dxa"/>
          </w:tcPr>
          <w:p w:rsidR="008727A9" w:rsidRPr="00E053D4" w:rsidRDefault="008727A9" w:rsidP="000F5C3E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Профицит (+)/ Дефицит (-)</w:t>
            </w:r>
          </w:p>
        </w:tc>
        <w:tc>
          <w:tcPr>
            <w:tcW w:w="1401" w:type="dxa"/>
          </w:tcPr>
          <w:p w:rsidR="008727A9" w:rsidRPr="00993CE4" w:rsidRDefault="008727A9" w:rsidP="000F5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2" w:type="dxa"/>
          </w:tcPr>
          <w:p w:rsidR="008727A9" w:rsidRPr="00993CE4" w:rsidRDefault="00FD55AE" w:rsidP="000F5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-400,0</w:t>
            </w:r>
          </w:p>
        </w:tc>
        <w:tc>
          <w:tcPr>
            <w:tcW w:w="1940" w:type="dxa"/>
          </w:tcPr>
          <w:p w:rsidR="008727A9" w:rsidRPr="00993CE4" w:rsidRDefault="00FD55AE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-400</w:t>
            </w:r>
            <w:r w:rsidR="008727A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690" w:type="dxa"/>
          </w:tcPr>
          <w:p w:rsidR="008727A9" w:rsidRPr="00993CE4" w:rsidRDefault="00FD55AE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8727A9" w:rsidRPr="00993CE4" w:rsidRDefault="00FD55AE" w:rsidP="000F5C3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-311,1</w:t>
            </w:r>
          </w:p>
        </w:tc>
      </w:tr>
    </w:tbl>
    <w:p w:rsidR="008727A9" w:rsidRDefault="008727A9" w:rsidP="008727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27A9" w:rsidRPr="00AE615C" w:rsidRDefault="008727A9" w:rsidP="008727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689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пояснительной записки к отчету об исполнении бюджета МО </w:t>
      </w:r>
      <w:r w:rsidR="00021246">
        <w:rPr>
          <w:rFonts w:ascii="Times New Roman" w:eastAsia="Calibri" w:hAnsi="Times New Roman" w:cs="Times New Roman"/>
          <w:sz w:val="28"/>
          <w:szCs w:val="28"/>
        </w:rPr>
        <w:t>Липицкое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48D">
        <w:rPr>
          <w:rFonts w:ascii="Times New Roman" w:eastAsia="Calibri" w:hAnsi="Times New Roman" w:cs="Times New Roman"/>
          <w:sz w:val="28"/>
          <w:szCs w:val="28"/>
        </w:rPr>
        <w:t>Чернск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>
        <w:rPr>
          <w:rFonts w:ascii="Times New Roman" w:eastAsia="Calibri" w:hAnsi="Times New Roman" w:cs="Times New Roman"/>
          <w:sz w:val="28"/>
          <w:szCs w:val="28"/>
        </w:rPr>
        <w:t>-е полугодие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2023 года, плановые назначения по доходам и расходам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1E7">
        <w:rPr>
          <w:rFonts w:ascii="Times New Roman" w:hAnsi="Times New Roman" w:cs="Times New Roman"/>
          <w:sz w:val="28"/>
          <w:szCs w:val="28"/>
        </w:rPr>
        <w:t>не соответствуют уточненному бюджету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</w:t>
      </w:r>
      <w:r w:rsidR="00021246" w:rsidRPr="008F61E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021246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021246" w:rsidRPr="008F61E7">
        <w:rPr>
          <w:rFonts w:ascii="Times New Roman" w:hAnsi="Times New Roman" w:cs="Times New Roman"/>
          <w:sz w:val="28"/>
          <w:szCs w:val="28"/>
        </w:rPr>
        <w:t xml:space="preserve">Чернского района   от </w:t>
      </w:r>
      <w:r w:rsidR="00021246">
        <w:rPr>
          <w:rFonts w:ascii="Times New Roman" w:hAnsi="Times New Roman" w:cs="Times New Roman"/>
          <w:sz w:val="28"/>
          <w:szCs w:val="28"/>
        </w:rPr>
        <w:t>31</w:t>
      </w:r>
      <w:r w:rsidR="00021246" w:rsidRPr="008F61E7">
        <w:rPr>
          <w:rFonts w:ascii="Times New Roman" w:eastAsia="Calibri" w:hAnsi="Times New Roman" w:cs="Times New Roman"/>
          <w:sz w:val="28"/>
          <w:szCs w:val="28"/>
        </w:rPr>
        <w:t>.03.202</w:t>
      </w:r>
      <w:r w:rsidR="00021246">
        <w:rPr>
          <w:rFonts w:ascii="Times New Roman" w:eastAsia="Calibri" w:hAnsi="Times New Roman" w:cs="Times New Roman"/>
          <w:sz w:val="28"/>
          <w:szCs w:val="28"/>
        </w:rPr>
        <w:t>3</w:t>
      </w:r>
      <w:r w:rsidR="00021246" w:rsidRPr="008F61E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21246">
        <w:rPr>
          <w:rFonts w:ascii="Times New Roman" w:eastAsia="Calibri" w:hAnsi="Times New Roman" w:cs="Times New Roman"/>
          <w:sz w:val="28"/>
          <w:szCs w:val="28"/>
        </w:rPr>
        <w:t>56</w:t>
      </w:r>
      <w:r w:rsidR="00021246" w:rsidRPr="008F61E7">
        <w:rPr>
          <w:rFonts w:ascii="Times New Roman" w:eastAsia="Calibri" w:hAnsi="Times New Roman" w:cs="Times New Roman"/>
          <w:sz w:val="28"/>
          <w:szCs w:val="28"/>
        </w:rPr>
        <w:t>-1</w:t>
      </w:r>
      <w:r w:rsidR="00021246">
        <w:rPr>
          <w:rFonts w:ascii="Times New Roman" w:eastAsia="Calibri" w:hAnsi="Times New Roman" w:cs="Times New Roman"/>
          <w:sz w:val="28"/>
          <w:szCs w:val="28"/>
        </w:rPr>
        <w:t>74</w:t>
      </w:r>
      <w:r w:rsidR="00021246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021246">
        <w:rPr>
          <w:rFonts w:ascii="Times New Roman" w:hAnsi="Times New Roman" w:cs="Times New Roman"/>
          <w:sz w:val="28"/>
          <w:szCs w:val="28"/>
        </w:rPr>
        <w:t>Липицкое   Чернского района от 26 декабря 2022</w:t>
      </w:r>
      <w:r w:rsidR="00021246"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021246">
        <w:rPr>
          <w:rFonts w:ascii="Times New Roman" w:hAnsi="Times New Roman" w:cs="Times New Roman"/>
          <w:sz w:val="28"/>
          <w:szCs w:val="28"/>
        </w:rPr>
        <w:t>52-155</w:t>
      </w:r>
      <w:r w:rsidR="00021246"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21246">
        <w:rPr>
          <w:rFonts w:ascii="Times New Roman" w:hAnsi="Times New Roman" w:cs="Times New Roman"/>
          <w:sz w:val="28"/>
          <w:szCs w:val="28"/>
        </w:rPr>
        <w:t>Липицкое</w:t>
      </w:r>
      <w:r w:rsidR="00021246"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21246">
        <w:rPr>
          <w:rFonts w:ascii="Times New Roman" w:hAnsi="Times New Roman" w:cs="Times New Roman"/>
          <w:sz w:val="28"/>
          <w:szCs w:val="28"/>
        </w:rPr>
        <w:t>3</w:t>
      </w:r>
      <w:r w:rsidR="00021246"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1246">
        <w:rPr>
          <w:rFonts w:ascii="Times New Roman" w:hAnsi="Times New Roman" w:cs="Times New Roman"/>
          <w:sz w:val="28"/>
          <w:szCs w:val="28"/>
        </w:rPr>
        <w:t>4</w:t>
      </w:r>
      <w:r w:rsidR="00021246" w:rsidRPr="006A5DEE">
        <w:rPr>
          <w:rFonts w:ascii="Times New Roman" w:hAnsi="Times New Roman" w:cs="Times New Roman"/>
          <w:sz w:val="28"/>
          <w:szCs w:val="28"/>
        </w:rPr>
        <w:t>-202</w:t>
      </w:r>
      <w:r w:rsidR="00021246">
        <w:rPr>
          <w:rFonts w:ascii="Times New Roman" w:hAnsi="Times New Roman" w:cs="Times New Roman"/>
          <w:sz w:val="28"/>
          <w:szCs w:val="28"/>
        </w:rPr>
        <w:t>5</w:t>
      </w:r>
      <w:r w:rsidR="00021246" w:rsidRPr="006A5D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21246" w:rsidRPr="008F61E7">
        <w:rPr>
          <w:rFonts w:ascii="Times New Roman" w:hAnsi="Times New Roman" w:cs="Times New Roman"/>
          <w:sz w:val="28"/>
          <w:szCs w:val="28"/>
        </w:rPr>
        <w:t>»</w:t>
      </w:r>
      <w:r w:rsidRPr="00AE615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21246">
        <w:rPr>
          <w:rFonts w:ascii="Times New Roman" w:hAnsi="Times New Roman" w:cs="Times New Roman"/>
          <w:sz w:val="28"/>
          <w:szCs w:val="28"/>
        </w:rPr>
        <w:t>28</w:t>
      </w:r>
      <w:r w:rsidR="00257A0B">
        <w:rPr>
          <w:rFonts w:ascii="Times New Roman" w:hAnsi="Times New Roman" w:cs="Times New Roman"/>
          <w:sz w:val="28"/>
          <w:szCs w:val="28"/>
        </w:rPr>
        <w:t> </w:t>
      </w:r>
      <w:r w:rsidR="00021246">
        <w:rPr>
          <w:rFonts w:ascii="Times New Roman" w:hAnsi="Times New Roman" w:cs="Times New Roman"/>
          <w:sz w:val="28"/>
          <w:szCs w:val="28"/>
        </w:rPr>
        <w:t>178</w:t>
      </w:r>
      <w:r w:rsidR="00257A0B">
        <w:rPr>
          <w:rFonts w:ascii="Times New Roman" w:hAnsi="Times New Roman" w:cs="Times New Roman"/>
          <w:sz w:val="28"/>
          <w:szCs w:val="28"/>
        </w:rPr>
        <w:t xml:space="preserve"> 869,96 </w:t>
      </w:r>
      <w:r w:rsidRPr="00AE615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15C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 xml:space="preserve">выделением средств из бюджета МО Чернский район на основании </w:t>
      </w:r>
      <w:r w:rsidRPr="00AE615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15C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МО Чернский район которыми :</w:t>
      </w:r>
    </w:p>
    <w:p w:rsidR="00021246" w:rsidRPr="00DA0EA1" w:rsidRDefault="00021246" w:rsidP="00021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EA1">
        <w:rPr>
          <w:rFonts w:ascii="Times New Roman" w:hAnsi="Times New Roman" w:cs="Times New Roman"/>
          <w:sz w:val="28"/>
          <w:szCs w:val="28"/>
        </w:rPr>
        <w:t>- увеличен плановый объем субвенций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10 148,98 рублей;</w:t>
      </w:r>
    </w:p>
    <w:p w:rsidR="00021246" w:rsidRDefault="00021246" w:rsidP="00021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EA1">
        <w:rPr>
          <w:rFonts w:ascii="Times New Roman" w:hAnsi="Times New Roman" w:cs="Times New Roman"/>
          <w:sz w:val="28"/>
          <w:szCs w:val="28"/>
        </w:rPr>
        <w:t xml:space="preserve">- увеличены иные межбюджетные трансферты на реализацию целевой программы </w:t>
      </w:r>
      <w:r w:rsidRPr="00543096">
        <w:rPr>
          <w:rFonts w:ascii="Times New Roman" w:hAnsi="Times New Roman" w:cs="Times New Roman"/>
          <w:sz w:val="28"/>
          <w:szCs w:val="28"/>
        </w:rPr>
        <w:t>«</w:t>
      </w:r>
      <w:r w:rsidRPr="00543096">
        <w:rPr>
          <w:rFonts w:ascii="Times New Roman" w:hAnsi="Times New Roman" w:cs="Times New Roman"/>
          <w:bCs/>
          <w:sz w:val="28"/>
          <w:szCs w:val="28"/>
        </w:rPr>
        <w:t>Модернизация и развитие автомобильных дорог общего пользования в муниципальном образовании Липицкое Чернского района на 2021-2026 годы</w:t>
      </w:r>
      <w:r w:rsidRPr="00543096">
        <w:rPr>
          <w:rFonts w:ascii="Times New Roman" w:hAnsi="Times New Roman" w:cs="Times New Roman"/>
          <w:sz w:val="28"/>
          <w:szCs w:val="28"/>
        </w:rPr>
        <w:t>» на</w:t>
      </w:r>
      <w:r w:rsidRPr="00DA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27 128 720,97</w:t>
      </w:r>
      <w:r w:rsidRPr="00DA0EA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246" w:rsidRPr="00DA0EA1" w:rsidRDefault="00021246" w:rsidP="00021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0EA1">
        <w:rPr>
          <w:rFonts w:ascii="Times New Roman" w:hAnsi="Times New Roman" w:cs="Times New Roman"/>
          <w:sz w:val="28"/>
          <w:szCs w:val="28"/>
        </w:rPr>
        <w:t xml:space="preserve">увеличены иные межбюджетные трансферты на реализацию целевой программы </w:t>
      </w:r>
      <w:r w:rsidRPr="008B1E6A">
        <w:rPr>
          <w:rFonts w:ascii="Times New Roman" w:hAnsi="Times New Roman" w:cs="Times New Roman"/>
          <w:bCs/>
          <w:sz w:val="28"/>
          <w:szCs w:val="28"/>
        </w:rPr>
        <w:t>«Благоустройство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E6A">
        <w:rPr>
          <w:rFonts w:ascii="Times New Roman" w:hAnsi="Times New Roman" w:cs="Times New Roman"/>
          <w:bCs/>
          <w:sz w:val="28"/>
          <w:szCs w:val="28"/>
        </w:rPr>
        <w:t>Липицкое Чернского района на 2021-2026 годы»</w:t>
      </w:r>
      <w:r w:rsidRPr="00543096">
        <w:rPr>
          <w:rFonts w:ascii="Times New Roman" w:hAnsi="Times New Roman" w:cs="Times New Roman"/>
          <w:sz w:val="28"/>
          <w:szCs w:val="28"/>
        </w:rPr>
        <w:t xml:space="preserve"> на</w:t>
      </w:r>
      <w:r w:rsidRPr="00DA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1 040 000,00</w:t>
      </w:r>
      <w:r w:rsidRPr="00DA0E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27A9" w:rsidRPr="00346639" w:rsidRDefault="008727A9" w:rsidP="008727A9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639">
        <w:rPr>
          <w:b/>
        </w:rPr>
        <w:t xml:space="preserve">       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Выделение дополнительных средств из бюджета другого уровня на основании уведомления 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субсидий, субвенций, иных межбюджетных трансфертов, имеющих целевое назначение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дает право получателю бюджетных средств на основании пункта 3 статьи 217 БК РФ и статье </w:t>
      </w:r>
      <w:r w:rsidR="00B946EE" w:rsidRPr="00B946EE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="00B946EE" w:rsidRPr="00B94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бюджетном процессе в муниципальном образовании Липицкое Чернского района, утверждённого Собранием депутатов муниципального образования Липицкое Чернского района от 31.01.2019 года №7-24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46639">
        <w:rPr>
          <w:rFonts w:ascii="Times New Roman" w:hAnsi="Times New Roman" w:cs="Times New Roman"/>
          <w:b/>
          <w:sz w:val="28"/>
          <w:szCs w:val="28"/>
        </w:rPr>
        <w:t>вносить изм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енения в сводную бюджетную роспись по расходам в соответствии с решениями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94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без внесения изменений в решение о бюджете поселения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46EE" w:rsidRDefault="008727A9" w:rsidP="00B946E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         Вносить изменения в плановые показатели доходов бюджета муниципального образования, без утверждения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этих изменений законом (решением) о бюджете не допускается (пункт 1 статьи 264.1 БК РФ, пункт 134 Приказа Минфина России от 28.12.2010 N 191н "Об утверждении Инструкции о порядке составления и представления годовой, </w:t>
      </w:r>
      <w:r w:rsidRPr="00346639">
        <w:rPr>
          <w:rFonts w:ascii="Times New Roman" w:hAnsi="Times New Roman" w:cs="Times New Roman"/>
          <w:b/>
          <w:sz w:val="28"/>
          <w:szCs w:val="28"/>
        </w:rPr>
        <w:lastRenderedPageBreak/>
        <w:t>квартальной и месячной отчетности об исполнении бюджетов бюджетной системы Российской Федерации").</w:t>
      </w:r>
      <w:r w:rsidRPr="00346639">
        <w:rPr>
          <w:rFonts w:ascii="Times New Roman" w:hAnsi="Times New Roman" w:cs="Times New Roman"/>
          <w:sz w:val="28"/>
          <w:szCs w:val="28"/>
        </w:rPr>
        <w:t xml:space="preserve"> 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Данные графы 4 «Утвержденные бюджетные назначения» раздела 1 «Доходы бюджета» отчета ф. 0503117 «Отчет об исполнении бюджета» администрации МО </w:t>
      </w:r>
      <w:r w:rsidR="00B946EE">
        <w:rPr>
          <w:rFonts w:ascii="Times New Roman" w:hAnsi="Times New Roman" w:cs="Times New Roman"/>
          <w:sz w:val="28"/>
          <w:szCs w:val="28"/>
        </w:rPr>
        <w:t>Липицкое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 Чернского района на 01.0</w:t>
      </w:r>
      <w:r w:rsidR="00B946EE">
        <w:rPr>
          <w:rFonts w:ascii="Times New Roman" w:hAnsi="Times New Roman" w:cs="Times New Roman"/>
          <w:sz w:val="28"/>
          <w:szCs w:val="28"/>
        </w:rPr>
        <w:t>7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.2023 год </w:t>
      </w:r>
      <w:r w:rsidR="00B946EE">
        <w:rPr>
          <w:rFonts w:ascii="Times New Roman" w:hAnsi="Times New Roman" w:cs="Times New Roman"/>
          <w:sz w:val="28"/>
          <w:szCs w:val="28"/>
        </w:rPr>
        <w:t>в сумме 230 262 961,44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 рублей не соответствуют </w:t>
      </w:r>
      <w:r w:rsidR="00B946EE" w:rsidRPr="00BC7B39">
        <w:rPr>
          <w:rFonts w:ascii="Times New Roman" w:hAnsi="Times New Roman" w:cs="Times New Roman"/>
          <w:color w:val="000000"/>
          <w:sz w:val="28"/>
          <w:szCs w:val="28"/>
        </w:rPr>
        <w:t xml:space="preserve">сумме плановых показателей </w:t>
      </w:r>
      <w:r w:rsidR="00B946EE">
        <w:rPr>
          <w:rFonts w:ascii="Times New Roman" w:hAnsi="Times New Roman" w:cs="Times New Roman"/>
          <w:color w:val="000000"/>
          <w:sz w:val="28"/>
          <w:szCs w:val="28"/>
        </w:rPr>
        <w:t>доходов бюджета</w:t>
      </w:r>
      <w:r w:rsidR="00B946EE" w:rsidRPr="00BC7B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</w:t>
      </w:r>
      <w:r w:rsidR="00B946EE" w:rsidRPr="00BC7B39">
        <w:rPr>
          <w:rFonts w:ascii="Times New Roman" w:hAnsi="Times New Roman" w:cs="Times New Roman"/>
          <w:sz w:val="28"/>
          <w:szCs w:val="28"/>
        </w:rPr>
        <w:t>Решением Собрания депутатов МО</w:t>
      </w:r>
      <w:r w:rsidR="00B946EE">
        <w:rPr>
          <w:rFonts w:ascii="Times New Roman" w:hAnsi="Times New Roman" w:cs="Times New Roman"/>
          <w:sz w:val="28"/>
          <w:szCs w:val="28"/>
        </w:rPr>
        <w:t xml:space="preserve"> Липицкое   Чернского района от 26 декабря 2022</w:t>
      </w:r>
      <w:r w:rsidR="00B946EE"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B946EE">
        <w:rPr>
          <w:rFonts w:ascii="Times New Roman" w:hAnsi="Times New Roman" w:cs="Times New Roman"/>
          <w:sz w:val="28"/>
          <w:szCs w:val="28"/>
        </w:rPr>
        <w:t>52-155</w:t>
      </w:r>
      <w:r w:rsidR="00B946EE"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B946EE">
        <w:rPr>
          <w:rFonts w:ascii="Times New Roman" w:hAnsi="Times New Roman" w:cs="Times New Roman"/>
          <w:sz w:val="28"/>
          <w:szCs w:val="28"/>
        </w:rPr>
        <w:t>Липицкое</w:t>
      </w:r>
      <w:r w:rsidR="00B946EE"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B946EE">
        <w:rPr>
          <w:rFonts w:ascii="Times New Roman" w:hAnsi="Times New Roman" w:cs="Times New Roman"/>
          <w:sz w:val="28"/>
          <w:szCs w:val="28"/>
        </w:rPr>
        <w:t>3</w:t>
      </w:r>
      <w:r w:rsidR="00B946EE"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46EE">
        <w:rPr>
          <w:rFonts w:ascii="Times New Roman" w:hAnsi="Times New Roman" w:cs="Times New Roman"/>
          <w:sz w:val="28"/>
          <w:szCs w:val="28"/>
        </w:rPr>
        <w:t>4</w:t>
      </w:r>
      <w:r w:rsidR="00B946EE" w:rsidRPr="006A5DEE">
        <w:rPr>
          <w:rFonts w:ascii="Times New Roman" w:hAnsi="Times New Roman" w:cs="Times New Roman"/>
          <w:sz w:val="28"/>
          <w:szCs w:val="28"/>
        </w:rPr>
        <w:t>-202</w:t>
      </w:r>
      <w:r w:rsidR="00B946EE">
        <w:rPr>
          <w:rFonts w:ascii="Times New Roman" w:hAnsi="Times New Roman" w:cs="Times New Roman"/>
          <w:sz w:val="28"/>
          <w:szCs w:val="28"/>
        </w:rPr>
        <w:t>5</w:t>
      </w:r>
      <w:r w:rsidR="00B946EE" w:rsidRPr="006A5DE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B946EE" w:rsidRPr="002D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6EE" w:rsidRPr="00BC7B3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946EE">
        <w:rPr>
          <w:rFonts w:ascii="Times New Roman" w:hAnsi="Times New Roman" w:cs="Times New Roman"/>
          <w:color w:val="000000"/>
          <w:sz w:val="28"/>
          <w:szCs w:val="28"/>
        </w:rPr>
        <w:t>202 084 094,48 рублей)</w:t>
      </w:r>
      <w:r w:rsidR="00B946EE" w:rsidRPr="00BC7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7A9" w:rsidRPr="00346639" w:rsidRDefault="008727A9" w:rsidP="008727A9">
      <w:pPr>
        <w:pStyle w:val="ab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Аналогичное нарушение было указано администрации </w:t>
      </w:r>
      <w:r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946EE">
        <w:rPr>
          <w:rFonts w:ascii="Times New Roman" w:hAnsi="Times New Roman" w:cs="Times New Roman"/>
          <w:b/>
          <w:sz w:val="28"/>
          <w:szCs w:val="28"/>
          <w:lang w:eastAsia="ru-RU"/>
        </w:rPr>
        <w:t>Липицкое</w:t>
      </w:r>
      <w:r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при проведении оперативного анализа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346639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образования </w:t>
      </w:r>
      <w:r w:rsidR="00B94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 Тульской области за 1 квартал 2023 года.</w:t>
      </w:r>
    </w:p>
    <w:p w:rsidR="008727A9" w:rsidRPr="00346639" w:rsidRDefault="00B946EE" w:rsidP="008727A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27A9" w:rsidRPr="00346639">
        <w:rPr>
          <w:rFonts w:ascii="Times New Roman" w:hAnsi="Times New Roman" w:cs="Times New Roman"/>
          <w:b/>
          <w:sz w:val="28"/>
          <w:szCs w:val="28"/>
        </w:rPr>
        <w:t xml:space="preserve">Однако Администрацией </w:t>
      </w:r>
      <w:r w:rsidR="008727A9"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="008727A9" w:rsidRPr="00346639">
        <w:rPr>
          <w:rFonts w:ascii="Times New Roman" w:hAnsi="Times New Roman" w:cs="Times New Roman"/>
          <w:b/>
          <w:sz w:val="28"/>
          <w:szCs w:val="28"/>
        </w:rPr>
        <w:t xml:space="preserve"> не были приняты меры по устранению вышеуказанного нарушения.</w:t>
      </w:r>
    </w:p>
    <w:p w:rsidR="008727A9" w:rsidRPr="00346639" w:rsidRDefault="008727A9" w:rsidP="008727A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Согласно данным Отчета об исполнении бюджета за </w:t>
      </w:r>
      <w:r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346639">
        <w:rPr>
          <w:rFonts w:ascii="Times New Roman" w:hAnsi="Times New Roman" w:cs="Times New Roman"/>
          <w:sz w:val="28"/>
          <w:szCs w:val="28"/>
        </w:rPr>
        <w:t xml:space="preserve">2023 г. бюджет по доходам исполнен на 01.07.2023 г. в размере </w:t>
      </w:r>
      <w:r w:rsidR="00B946EE">
        <w:rPr>
          <w:rFonts w:ascii="Times New Roman" w:hAnsi="Times New Roman" w:cs="Times New Roman"/>
          <w:sz w:val="28"/>
          <w:szCs w:val="28"/>
        </w:rPr>
        <w:t>8 672,1</w:t>
      </w:r>
      <w:r w:rsidRPr="003466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46EE">
        <w:rPr>
          <w:rFonts w:ascii="Times New Roman" w:hAnsi="Times New Roman" w:cs="Times New Roman"/>
          <w:sz w:val="28"/>
          <w:szCs w:val="28"/>
        </w:rPr>
        <w:t>3,8</w:t>
      </w:r>
      <w:r w:rsidRPr="00346639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2023 года, по расходам исполнение на 01.07.2023 год составило </w:t>
      </w:r>
      <w:r w:rsidR="00B946EE">
        <w:rPr>
          <w:rFonts w:ascii="Times New Roman" w:hAnsi="Times New Roman" w:cs="Times New Roman"/>
          <w:sz w:val="28"/>
          <w:szCs w:val="28"/>
        </w:rPr>
        <w:t>8 983,2</w:t>
      </w:r>
      <w:r w:rsidRPr="003466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46EE">
        <w:rPr>
          <w:rFonts w:ascii="Times New Roman" w:hAnsi="Times New Roman" w:cs="Times New Roman"/>
          <w:sz w:val="28"/>
          <w:szCs w:val="28"/>
        </w:rPr>
        <w:t>3</w:t>
      </w:r>
      <w:r w:rsidRPr="00346639">
        <w:rPr>
          <w:rFonts w:ascii="Times New Roman" w:hAnsi="Times New Roman" w:cs="Times New Roman"/>
          <w:sz w:val="28"/>
          <w:szCs w:val="28"/>
        </w:rPr>
        <w:t>,9%.</w:t>
      </w:r>
    </w:p>
    <w:p w:rsidR="008727A9" w:rsidRPr="00346639" w:rsidRDefault="008727A9" w:rsidP="008727A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346639">
        <w:rPr>
          <w:rFonts w:ascii="Times New Roman" w:hAnsi="Times New Roman" w:cs="Times New Roman"/>
          <w:sz w:val="28"/>
          <w:szCs w:val="28"/>
        </w:rPr>
        <w:t>2023 года бюджет исполнен с дефицитом в сумме 3</w:t>
      </w:r>
      <w:r w:rsidR="00317905">
        <w:rPr>
          <w:rFonts w:ascii="Times New Roman" w:hAnsi="Times New Roman" w:cs="Times New Roman"/>
          <w:sz w:val="28"/>
          <w:szCs w:val="28"/>
        </w:rPr>
        <w:t>11,1</w:t>
      </w:r>
      <w:r w:rsidRPr="003466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27A9" w:rsidRPr="004572A3" w:rsidRDefault="008727A9" w:rsidP="008727A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63BB" w:rsidRPr="002B6DF1" w:rsidRDefault="004572A3" w:rsidP="00B13D7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2B6DF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  <w:bookmarkEnd w:id="1"/>
    </w:p>
    <w:p w:rsidR="00B97CED" w:rsidRPr="002B6DF1" w:rsidRDefault="009A63BB" w:rsidP="007F68B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</w:t>
      </w:r>
      <w:r w:rsidR="007F68B6">
        <w:rPr>
          <w:rFonts w:ascii="Times New Roman" w:hAnsi="Times New Roman" w:cs="Times New Roman"/>
          <w:sz w:val="28"/>
          <w:szCs w:val="28"/>
        </w:rPr>
        <w:t xml:space="preserve">   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доходной части бюджета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4F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13D72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1639F5" w:rsidRPr="002B6DF1">
        <w:rPr>
          <w:rFonts w:ascii="Times New Roman" w:hAnsi="Times New Roman" w:cs="Times New Roman"/>
          <w:sz w:val="28"/>
          <w:szCs w:val="28"/>
        </w:rPr>
        <w:t>202</w:t>
      </w:r>
      <w:r w:rsidR="001D49FD">
        <w:rPr>
          <w:rFonts w:ascii="Times New Roman" w:hAnsi="Times New Roman" w:cs="Times New Roman"/>
          <w:sz w:val="28"/>
          <w:szCs w:val="28"/>
        </w:rPr>
        <w:t>3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представлен в нижеприведенной таблице</w:t>
      </w:r>
      <w:r w:rsidR="00B97CE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CED" w:rsidRPr="009A63BB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C5AAE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1639F5" w:rsidRDefault="001639F5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</w:p>
    <w:p w:rsidR="00E72434" w:rsidRDefault="00E72434" w:rsidP="00E7243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E72434" w:rsidTr="003C555A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1F" w:rsidRPr="0004291F" w:rsidRDefault="00E72434" w:rsidP="00042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8731D" w:rsidRPr="0004291F">
              <w:rPr>
                <w:rFonts w:ascii="Times New Roman" w:eastAsia="Times New Roman" w:hAnsi="Times New Roman" w:cs="Times New Roman"/>
                <w:lang w:eastAsia="ru-RU"/>
              </w:rPr>
              <w:t>лан</w:t>
            </w:r>
            <w:r w:rsidR="0004291F"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1D49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4291F"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1F" w:rsidRPr="0004291F" w:rsidRDefault="00E72434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E72434" w:rsidRPr="0004291F" w:rsidRDefault="00E72434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1D49FD" w:rsidTr="003C555A">
        <w:trPr>
          <w:trHeight w:val="350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FD" w:rsidRPr="0004291F" w:rsidRDefault="001D49FD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FD" w:rsidRPr="0004291F" w:rsidRDefault="001D49FD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B13BF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полугодие 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1D49FD" w:rsidRPr="0004291F" w:rsidRDefault="001D49FD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B13D7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1D49FD" w:rsidRPr="0004291F" w:rsidRDefault="001D49FD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:rsidR="001D49FD" w:rsidRPr="0004291F" w:rsidRDefault="001D49FD" w:rsidP="001D49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:rsidR="001D49FD" w:rsidRPr="0004291F" w:rsidRDefault="001D49FD" w:rsidP="001D49FD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FD" w:rsidRPr="0004291F" w:rsidRDefault="001D49FD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Tr="001639F5">
        <w:trPr>
          <w:trHeight w:val="184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D49FD" w:rsidTr="00897D9B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227CED" w:rsidP="00B1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8 234,</w:t>
            </w:r>
            <w:r w:rsidR="00B13BF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-899,4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29,7</w:t>
            </w:r>
          </w:p>
        </w:tc>
      </w:tr>
      <w:tr w:rsidR="001D49FD" w:rsidTr="00897D9B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227CED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663,6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27,3</w:t>
            </w:r>
          </w:p>
        </w:tc>
      </w:tr>
      <w:tr w:rsidR="001D49FD" w:rsidTr="003D399E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</w:t>
            </w:r>
            <w:r w:rsidR="00227CE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227CED" w:rsidP="001D49F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112,3</w:t>
            </w:r>
          </w:p>
        </w:tc>
      </w:tr>
      <w:tr w:rsidR="001D49F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227CED" w:rsidP="00DB2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6 455,</w:t>
            </w:r>
            <w:r w:rsidR="00B13BF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-841,4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15,9</w:t>
            </w:r>
          </w:p>
        </w:tc>
      </w:tr>
      <w:tr w:rsidR="001D49FD" w:rsidTr="00227CED">
        <w:trPr>
          <w:trHeight w:val="30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227CED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227CED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227C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56,7</w:t>
            </w:r>
          </w:p>
        </w:tc>
      </w:tr>
      <w:tr w:rsidR="00227CED" w:rsidTr="00227CED">
        <w:trPr>
          <w:trHeight w:val="30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D" w:rsidRPr="0004291F" w:rsidRDefault="00227CED" w:rsidP="00227CED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Default="00227CED" w:rsidP="00DB2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12,</w:t>
            </w:r>
            <w:r w:rsidR="00DB278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Default="00B13BF4" w:rsidP="00227C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04291F" w:rsidRDefault="008E515B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1D49F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222 028,9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6 514,3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6 230,2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-284,1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2,8</w:t>
            </w:r>
          </w:p>
        </w:tc>
      </w:tr>
      <w:tr w:rsidR="00227CE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D" w:rsidRPr="004F08BC" w:rsidRDefault="00227CED" w:rsidP="00227C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227CED" w:rsidP="00227C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B13BF4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-536,3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AA637F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227CE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D" w:rsidRPr="004F08BC" w:rsidRDefault="00227CED" w:rsidP="00227C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227CED" w:rsidP="00227C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B13BF4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+30,2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AA637F" w:rsidP="00227C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49,4</w:t>
            </w:r>
          </w:p>
        </w:tc>
      </w:tr>
      <w:tr w:rsidR="001D49F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D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897D9B" w:rsidRDefault="00227CED" w:rsidP="0063531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217</w:t>
            </w:r>
            <w:r w:rsidR="006353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962,1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897D9B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897D9B" w:rsidRDefault="00FC7098" w:rsidP="00FC70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4 199,4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897D9B" w:rsidRDefault="00FC7098" w:rsidP="00FC70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+178,4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897D9B" w:rsidRDefault="00AA637F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1,9</w:t>
            </w:r>
          </w:p>
        </w:tc>
      </w:tr>
      <w:tr w:rsidR="00227CED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D" w:rsidRDefault="00DB278A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Default="00DB278A" w:rsidP="001D49F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CED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DB278A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A" w:rsidRDefault="00DB278A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78A" w:rsidRDefault="00DB278A" w:rsidP="001D49F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78A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78A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78A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78A" w:rsidRPr="00897D9B" w:rsidRDefault="00FC7098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1D49FD" w:rsidTr="00897D9B">
        <w:trPr>
          <w:trHeight w:val="33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FD" w:rsidRPr="0004291F" w:rsidRDefault="001D49FD" w:rsidP="001D49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230 263,0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9 855,6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8 672,1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B13BF4" w:rsidP="00B13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-1 183,5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FD" w:rsidRPr="0004291F" w:rsidRDefault="003E1ACE" w:rsidP="001D49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3,8</w:t>
            </w:r>
          </w:p>
        </w:tc>
      </w:tr>
    </w:tbl>
    <w:p w:rsidR="00E72434" w:rsidRDefault="00E72434" w:rsidP="00E72434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E06707" w:rsidRPr="00E06707" w:rsidRDefault="00E06707" w:rsidP="00E06707">
      <w:pPr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A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источников доходов план исполнен ниже </w:t>
      </w:r>
      <w:r w:rsidR="00AA637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r w:rsidR="00AA63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видам: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</w:t>
      </w:r>
      <w:r w:rsid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62E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748B6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E762E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06707" w:rsidRPr="00E06707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- 0,0%</w:t>
      </w:r>
      <w:r w:rsidR="00E06707"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A50" w:rsidRPr="00E06707" w:rsidRDefault="00430A50" w:rsidP="00430A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поступления 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B77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</w:t>
      </w:r>
      <w:r w:rsidR="005A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период прошлого года на </w:t>
      </w:r>
      <w:r w:rsidR="005A1B77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707" w:rsidRPr="00E06707" w:rsidRDefault="00E06707" w:rsidP="003925EA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За </w:t>
      </w:r>
      <w:r w:rsidR="00C80BAE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6416B4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в бюджет  МО 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поступило налога на доходы физических лиц в сумме </w:t>
      </w:r>
      <w:r w:rsidR="00C80BAE">
        <w:rPr>
          <w:rFonts w:ascii="Times New Roman" w:eastAsia="Times New Roman" w:hAnsi="Times New Roman" w:cs="Times New Roman"/>
          <w:sz w:val="28"/>
          <w:szCs w:val="16"/>
          <w:lang w:eastAsia="ru-RU"/>
        </w:rPr>
        <w:t>181,4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 рублей, что составило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C80BAE">
        <w:rPr>
          <w:rFonts w:ascii="Times New Roman" w:eastAsia="Times New Roman" w:hAnsi="Times New Roman" w:cs="Times New Roman"/>
          <w:sz w:val="28"/>
          <w:szCs w:val="16"/>
          <w:lang w:eastAsia="ru-RU"/>
        </w:rPr>
        <w:t>27,3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%  к  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уточненному годовому плану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Относительно соответствующего периода 20</w:t>
      </w:r>
      <w:r w:rsidR="008B4C85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 поступления 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>уменьшились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r w:rsidR="00C80BAE">
        <w:rPr>
          <w:rFonts w:ascii="Times New Roman" w:eastAsia="Times New Roman" w:hAnsi="Times New Roman" w:cs="Times New Roman"/>
          <w:sz w:val="28"/>
          <w:szCs w:val="16"/>
          <w:lang w:eastAsia="ru-RU"/>
        </w:rPr>
        <w:t>12,3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тыс. руб.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или на </w:t>
      </w:r>
      <w:r w:rsidR="00C80BAE">
        <w:rPr>
          <w:rFonts w:ascii="Times New Roman" w:eastAsia="Times New Roman" w:hAnsi="Times New Roman" w:cs="Times New Roman"/>
          <w:sz w:val="28"/>
          <w:szCs w:val="16"/>
          <w:lang w:eastAsia="ru-RU"/>
        </w:rPr>
        <w:t>38,2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%.</w:t>
      </w:r>
    </w:p>
    <w:p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В объеме поступивших за </w:t>
      </w:r>
      <w:r w:rsidR="00C80BAE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налоговых и неналоговых доходов бюджета МО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поступления налога на доходы физических лиц составил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C80BAE">
        <w:rPr>
          <w:rFonts w:ascii="Times New Roman" w:eastAsia="Times New Roman" w:hAnsi="Times New Roman" w:cs="Times New Roman"/>
          <w:sz w:val="28"/>
          <w:szCs w:val="16"/>
          <w:lang w:eastAsia="ru-RU"/>
        </w:rPr>
        <w:t>7,4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%.</w:t>
      </w:r>
    </w:p>
    <w:p w:rsidR="003925EA" w:rsidRDefault="00E06707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6416B4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</w:t>
      </w:r>
      <w:r w:rsidR="003925EA">
        <w:rPr>
          <w:rFonts w:ascii="Times New Roman" w:eastAsia="Times New Roman" w:hAnsi="Times New Roman" w:cs="Times New Roman"/>
          <w:sz w:val="28"/>
          <w:szCs w:val="16"/>
          <w:lang w:eastAsia="ru-RU"/>
        </w:rPr>
        <w:t>Н</w:t>
      </w:r>
      <w:proofErr w:type="spellStart"/>
      <w:r w:rsidR="003925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алог</w:t>
      </w:r>
      <w:r w:rsidR="006416B4">
        <w:rPr>
          <w:rFonts w:ascii="Times New Roman" w:eastAsia="Times New Roman" w:hAnsi="Times New Roman" w:cs="Times New Roman"/>
          <w:sz w:val="28"/>
          <w:szCs w:val="16"/>
          <w:lang w:eastAsia="ru-RU"/>
        </w:rPr>
        <w:t>и</w:t>
      </w:r>
      <w:proofErr w:type="spellEnd"/>
      <w:r w:rsidR="002B6DF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3925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на совокупный доход</w:t>
      </w:r>
      <w:r w:rsidR="003925EA" w:rsidRPr="00E06707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поступил</w:t>
      </w:r>
      <w:r w:rsidR="006416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в бюджет МО  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в сумме </w:t>
      </w:r>
      <w:r w:rsidR="00C80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1 235,2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тыс. рублей, что составляет </w:t>
      </w:r>
      <w:r w:rsidR="00C80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112,3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% к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уточненному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годовому плану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соответствующим периодом 20</w:t>
      </w:r>
      <w:r w:rsidR="003925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80BAE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12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80BAE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E06707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структуре налоговых и неналоговых доходов в бюджете МО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0BAE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3925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3925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FD" w:rsidRPr="00DF41FD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н</w:t>
      </w:r>
      <w:r w:rsidR="00DF41F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алог на совокупный доход</w:t>
      </w:r>
      <w:r w:rsidR="00DF41FD" w:rsidRPr="00E06707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C80BAE">
        <w:rPr>
          <w:rFonts w:ascii="Times New Roman" w:eastAsia="Times New Roman" w:hAnsi="Times New Roman" w:cs="Times New Roman"/>
          <w:sz w:val="28"/>
          <w:szCs w:val="28"/>
          <w:lang w:eastAsia="ru-RU"/>
        </w:rPr>
        <w:t>50,6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824A9" w:rsidRDefault="00A824A9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707" w:rsidRDefault="00E06707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За </w:t>
      </w:r>
      <w:r w:rsidR="000F5C3E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44288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EF30EF">
        <w:rPr>
          <w:rFonts w:ascii="Times New Roman" w:eastAsia="Times New Roman" w:hAnsi="Times New Roman" w:cs="Times New Roman"/>
          <w:sz w:val="28"/>
          <w:szCs w:val="28"/>
          <w:lang w:eastAsia="ru-RU"/>
        </w:rPr>
        <w:t>1 023,6</w:t>
      </w:r>
      <w:r w:rsidR="0046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EF3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2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30EF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Относительно соответствующего периода 20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4428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поступления по этому показателю </w:t>
      </w:r>
      <w:r w:rsidR="00EF30EF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уменьшились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EF3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841,4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или </w:t>
      </w:r>
      <w:r w:rsidR="00EF30EF">
        <w:rPr>
          <w:rFonts w:ascii="Times New Roman" w:eastAsia="Times New Roman" w:hAnsi="Times New Roman" w:cs="Times New Roman"/>
          <w:sz w:val="28"/>
          <w:szCs w:val="20"/>
          <w:lang w:eastAsia="ru-RU"/>
        </w:rPr>
        <w:t>45,1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30EF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44288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составили </w:t>
      </w:r>
      <w:r w:rsidR="00EF30EF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06707" w:rsidRPr="00EF4799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</w:t>
      </w:r>
      <w:r w:rsid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799" w:rsidRPr="009A63BB" w:rsidRDefault="00E06707" w:rsidP="00EF4799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="00EF4799"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F4799">
        <w:rPr>
          <w:rFonts w:ascii="Times New Roman" w:eastAsia="Calibri" w:hAnsi="Times New Roman" w:cs="Times New Roman"/>
          <w:sz w:val="28"/>
          <w:szCs w:val="28"/>
        </w:rPr>
        <w:t>3</w:t>
      </w:r>
      <w:r w:rsidR="00EF4799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F4799" w:rsidRDefault="00EF4799" w:rsidP="00EF4799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134"/>
        <w:gridCol w:w="1276"/>
        <w:gridCol w:w="1276"/>
        <w:gridCol w:w="1275"/>
        <w:gridCol w:w="1276"/>
      </w:tblGrid>
      <w:tr w:rsidR="00E06707" w:rsidRPr="00E06707" w:rsidTr="00D773A5">
        <w:trPr>
          <w:trHeight w:val="533"/>
          <w:tblHeader/>
        </w:trPr>
        <w:tc>
          <w:tcPr>
            <w:tcW w:w="3431" w:type="dxa"/>
            <w:vMerge w:val="restart"/>
          </w:tcPr>
          <w:p w:rsidR="00E06707" w:rsidRPr="00E06707" w:rsidRDefault="00EF4799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E06707"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3442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6707" w:rsidRPr="00E06707" w:rsidRDefault="00E06707" w:rsidP="00E0670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E06707" w:rsidRPr="00E06707" w:rsidRDefault="00E06707" w:rsidP="00E06707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:rsidR="00884ABD" w:rsidRDefault="00E06707" w:rsidP="00244A5D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:rsidR="00884ABD" w:rsidRDefault="00884ABD" w:rsidP="00884A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EF30E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</w:p>
          <w:p w:rsidR="00884ABD" w:rsidRPr="0004291F" w:rsidRDefault="00884ABD" w:rsidP="00884A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3442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E06707" w:rsidRPr="00E06707" w:rsidRDefault="00E06707" w:rsidP="00EF4799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344288" w:rsidRPr="00E06707" w:rsidTr="00D773A5">
        <w:trPr>
          <w:trHeight w:val="532"/>
          <w:tblHeader/>
        </w:trPr>
        <w:tc>
          <w:tcPr>
            <w:tcW w:w="3431" w:type="dxa"/>
            <w:vMerge/>
          </w:tcPr>
          <w:p w:rsidR="00344288" w:rsidRPr="00E06707" w:rsidRDefault="00344288" w:rsidP="003442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EF30E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EF30E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44288" w:rsidRPr="00E06707" w:rsidRDefault="00344288" w:rsidP="0034428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:rsidR="00344288" w:rsidRPr="00E06707" w:rsidRDefault="00344288" w:rsidP="0034428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288" w:rsidRPr="00E06707" w:rsidTr="00344288">
        <w:trPr>
          <w:trHeight w:val="354"/>
          <w:tblHeader/>
        </w:trPr>
        <w:tc>
          <w:tcPr>
            <w:tcW w:w="3431" w:type="dxa"/>
            <w:vMerge/>
            <w:tcBorders>
              <w:right w:val="single" w:sz="4" w:space="0" w:color="auto"/>
            </w:tcBorders>
          </w:tcPr>
          <w:p w:rsidR="00344288" w:rsidRPr="00E06707" w:rsidRDefault="00344288" w:rsidP="003442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288" w:rsidRPr="00E06707" w:rsidRDefault="00344288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vMerge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344288" w:rsidRPr="00E06707" w:rsidTr="00344288">
        <w:trPr>
          <w:trHeight w:val="181"/>
          <w:tblHeader/>
        </w:trPr>
        <w:tc>
          <w:tcPr>
            <w:tcW w:w="3431" w:type="dxa"/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44288" w:rsidRPr="00E06707" w:rsidTr="00D773A5">
        <w:trPr>
          <w:trHeight w:val="143"/>
        </w:trPr>
        <w:tc>
          <w:tcPr>
            <w:tcW w:w="3431" w:type="dxa"/>
          </w:tcPr>
          <w:p w:rsidR="00344288" w:rsidRPr="00E06707" w:rsidRDefault="00344288" w:rsidP="0034428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имущество:</w:t>
            </w:r>
          </w:p>
        </w:tc>
        <w:tc>
          <w:tcPr>
            <w:tcW w:w="1134" w:type="dxa"/>
            <w:vAlign w:val="bottom"/>
          </w:tcPr>
          <w:p w:rsidR="00344288" w:rsidRPr="00E06707" w:rsidRDefault="00344288" w:rsidP="00EF3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6 455,</w:t>
            </w:r>
            <w:r w:rsidR="00EF30E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1 865,0</w:t>
            </w:r>
          </w:p>
        </w:tc>
        <w:tc>
          <w:tcPr>
            <w:tcW w:w="1276" w:type="dxa"/>
            <w:vAlign w:val="bottom"/>
          </w:tcPr>
          <w:p w:rsidR="00344288" w:rsidRPr="00E06707" w:rsidRDefault="008A58A0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1 023,6</w:t>
            </w:r>
          </w:p>
        </w:tc>
        <w:tc>
          <w:tcPr>
            <w:tcW w:w="1275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-841,4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15,9</w:t>
            </w:r>
          </w:p>
        </w:tc>
      </w:tr>
      <w:tr w:rsidR="00344288" w:rsidRPr="00E06707" w:rsidTr="00D773A5">
        <w:trPr>
          <w:trHeight w:val="321"/>
        </w:trPr>
        <w:tc>
          <w:tcPr>
            <w:tcW w:w="3431" w:type="dxa"/>
          </w:tcPr>
          <w:p w:rsidR="00344288" w:rsidRPr="00E06707" w:rsidRDefault="00344288" w:rsidP="0034428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344288" w:rsidRPr="00E06707" w:rsidRDefault="00884349" w:rsidP="00EF30EF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188,7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7,2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8,3</w:t>
            </w:r>
          </w:p>
        </w:tc>
        <w:tc>
          <w:tcPr>
            <w:tcW w:w="1275" w:type="dxa"/>
            <w:vAlign w:val="bottom"/>
          </w:tcPr>
          <w:p w:rsidR="00344288" w:rsidRPr="00E06707" w:rsidRDefault="00A63BA5" w:rsidP="00A63BA5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+1,1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4,4</w:t>
            </w:r>
          </w:p>
        </w:tc>
      </w:tr>
      <w:tr w:rsidR="00344288" w:rsidRPr="00E06707" w:rsidTr="00D773A5">
        <w:trPr>
          <w:trHeight w:val="360"/>
        </w:trPr>
        <w:tc>
          <w:tcPr>
            <w:tcW w:w="3431" w:type="dxa"/>
          </w:tcPr>
          <w:p w:rsidR="00344288" w:rsidRPr="00E06707" w:rsidRDefault="00344288" w:rsidP="00344288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  <w:p w:rsidR="00344288" w:rsidRPr="00E06707" w:rsidRDefault="00344288" w:rsidP="00344288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44288" w:rsidRPr="00E06707" w:rsidRDefault="00884349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3 768,9</w:t>
            </w:r>
          </w:p>
        </w:tc>
        <w:tc>
          <w:tcPr>
            <w:tcW w:w="1276" w:type="dxa"/>
            <w:vAlign w:val="bottom"/>
          </w:tcPr>
          <w:p w:rsidR="00344288" w:rsidRPr="00E06707" w:rsidRDefault="00E2154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  <w:r w:rsidR="00A63B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687,1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962,0</w:t>
            </w:r>
          </w:p>
        </w:tc>
        <w:tc>
          <w:tcPr>
            <w:tcW w:w="1275" w:type="dxa"/>
            <w:vAlign w:val="bottom"/>
          </w:tcPr>
          <w:p w:rsidR="00344288" w:rsidRPr="00E06707" w:rsidRDefault="00A63BA5" w:rsidP="00A63BA5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-725,1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25,5</w:t>
            </w:r>
          </w:p>
        </w:tc>
      </w:tr>
      <w:tr w:rsidR="00344288" w:rsidRPr="00E06707" w:rsidTr="00217EFE">
        <w:trPr>
          <w:trHeight w:val="565"/>
        </w:trPr>
        <w:tc>
          <w:tcPr>
            <w:tcW w:w="3431" w:type="dxa"/>
          </w:tcPr>
          <w:p w:rsidR="00344288" w:rsidRPr="00E06707" w:rsidRDefault="00344288" w:rsidP="00344288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344288" w:rsidRPr="00E06707" w:rsidRDefault="00884349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2 497,7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170,7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53,3</w:t>
            </w:r>
          </w:p>
        </w:tc>
        <w:tc>
          <w:tcPr>
            <w:tcW w:w="1275" w:type="dxa"/>
            <w:vAlign w:val="bottom"/>
          </w:tcPr>
          <w:p w:rsidR="00344288" w:rsidRPr="00E06707" w:rsidRDefault="00A63BA5" w:rsidP="00A63BA5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-117,4</w:t>
            </w:r>
          </w:p>
        </w:tc>
        <w:tc>
          <w:tcPr>
            <w:tcW w:w="1276" w:type="dxa"/>
            <w:vAlign w:val="bottom"/>
          </w:tcPr>
          <w:p w:rsidR="00344288" w:rsidRPr="00E06707" w:rsidRDefault="00A63BA5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</w:tr>
    </w:tbl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07" w:rsidRPr="00E06707" w:rsidRDefault="00E06707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Государственная пошлина</w:t>
      </w:r>
    </w:p>
    <w:p w:rsid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A824A9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2762B8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A824A9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A824A9">
        <w:rPr>
          <w:rFonts w:ascii="Times New Roman" w:eastAsia="Times New Roman" w:hAnsi="Times New Roman" w:cs="Times New Roman"/>
          <w:sz w:val="28"/>
          <w:szCs w:val="28"/>
          <w:lang w:eastAsia="ru-RU"/>
        </w:rPr>
        <w:t>56,7</w:t>
      </w:r>
      <w:r w:rsidR="002762B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утверждённому годовому плану. Относительно   соответствующего периода 20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2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A82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824A9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A824A9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8262F" w:rsidRPr="00E06707" w:rsidRDefault="0048262F" w:rsidP="004826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2A04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1F2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1F2A04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1F2A04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A04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1F2A0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1F2A04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1F2A0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1F2A04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1F2A04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виду доходов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="001F2A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D3" w:rsidRPr="0027765F" w:rsidRDefault="0048262F" w:rsidP="00C248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="00C248D3" w:rsidRPr="00277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D3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1 224,8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229,4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248D3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="00C248D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C248D3" w:rsidRPr="00EB74B2" w:rsidRDefault="00C248D3" w:rsidP="00C248D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248D3" w:rsidRPr="00C8593A" w:rsidRDefault="00C248D3" w:rsidP="00C248D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206"/>
        <w:gridCol w:w="1275"/>
        <w:gridCol w:w="1701"/>
        <w:gridCol w:w="1843"/>
      </w:tblGrid>
      <w:tr w:rsidR="00C248D3" w:rsidRPr="002A03C1" w:rsidTr="00957BD1"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:rsidR="00C248D3" w:rsidRPr="00DC4C23" w:rsidRDefault="00C248D3" w:rsidP="00C248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:rsidR="00C248D3" w:rsidRPr="00DC4C23" w:rsidRDefault="00C248D3" w:rsidP="00C248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01.07.2023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C248D3" w:rsidRPr="002A03C1" w:rsidTr="00957BD1"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</w:tcPr>
          <w:p w:rsidR="00C248D3" w:rsidRPr="00DC4C23" w:rsidRDefault="00C248D3" w:rsidP="00C248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701" w:type="dxa"/>
          </w:tcPr>
          <w:p w:rsidR="00C248D3" w:rsidRPr="00DC4C23" w:rsidRDefault="00C248D3" w:rsidP="00C248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+9,9</w:t>
            </w:r>
          </w:p>
        </w:tc>
        <w:tc>
          <w:tcPr>
            <w:tcW w:w="1843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+225</w:t>
            </w:r>
          </w:p>
        </w:tc>
      </w:tr>
      <w:tr w:rsidR="00C248D3" w:rsidRPr="002A03C1" w:rsidTr="00957BD1">
        <w:trPr>
          <w:trHeight w:val="531"/>
        </w:trPr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1275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273,7</w:t>
            </w:r>
          </w:p>
        </w:tc>
        <w:tc>
          <w:tcPr>
            <w:tcW w:w="1701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+60,0</w:t>
            </w:r>
          </w:p>
        </w:tc>
        <w:tc>
          <w:tcPr>
            <w:tcW w:w="1843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+28,1</w:t>
            </w:r>
          </w:p>
        </w:tc>
      </w:tr>
      <w:tr w:rsidR="00C248D3" w:rsidRPr="002A03C1" w:rsidTr="00957BD1"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1 236,1</w:t>
            </w:r>
          </w:p>
        </w:tc>
        <w:tc>
          <w:tcPr>
            <w:tcW w:w="1275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936,5</w:t>
            </w:r>
          </w:p>
        </w:tc>
        <w:tc>
          <w:tcPr>
            <w:tcW w:w="1701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-299,6</w:t>
            </w:r>
          </w:p>
        </w:tc>
        <w:tc>
          <w:tcPr>
            <w:tcW w:w="1843" w:type="dxa"/>
          </w:tcPr>
          <w:p w:rsidR="00C248D3" w:rsidRPr="00DC4C23" w:rsidRDefault="00C248D3" w:rsidP="00957B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-24,2</w:t>
            </w:r>
          </w:p>
        </w:tc>
      </w:tr>
      <w:tr w:rsidR="00C248D3" w:rsidRPr="002A03C1" w:rsidTr="00957BD1"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:rsidR="00C248D3" w:rsidRDefault="00C248D3" w:rsidP="00957BD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248D3" w:rsidRPr="00DC4C23" w:rsidRDefault="00C248D3" w:rsidP="00957BD1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C248D3" w:rsidRPr="00DC4C23" w:rsidRDefault="00C248D3" w:rsidP="00957BD1">
            <w:pPr>
              <w:spacing w:line="276" w:lineRule="auto"/>
              <w:jc w:val="center"/>
            </w:pPr>
            <w:r>
              <w:t>+0,3</w:t>
            </w:r>
          </w:p>
        </w:tc>
        <w:tc>
          <w:tcPr>
            <w:tcW w:w="1843" w:type="dxa"/>
          </w:tcPr>
          <w:p w:rsidR="00C248D3" w:rsidRPr="00DC4C23" w:rsidRDefault="00C248D3" w:rsidP="00957BD1">
            <w:pPr>
              <w:spacing w:line="276" w:lineRule="auto"/>
              <w:jc w:val="center"/>
            </w:pPr>
            <w:r>
              <w:t>0,0</w:t>
            </w:r>
          </w:p>
        </w:tc>
      </w:tr>
      <w:tr w:rsidR="00C248D3" w:rsidRPr="002A03C1" w:rsidTr="00957BD1">
        <w:trPr>
          <w:trHeight w:val="569"/>
        </w:trPr>
        <w:tc>
          <w:tcPr>
            <w:tcW w:w="3256" w:type="dxa"/>
          </w:tcPr>
          <w:p w:rsidR="00C248D3" w:rsidRPr="00DC4C23" w:rsidRDefault="00C248D3" w:rsidP="00957B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C248D3" w:rsidRPr="008365A2" w:rsidRDefault="00C248D3" w:rsidP="00957B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1 454,2</w:t>
            </w:r>
          </w:p>
        </w:tc>
        <w:tc>
          <w:tcPr>
            <w:tcW w:w="1275" w:type="dxa"/>
          </w:tcPr>
          <w:p w:rsidR="00C248D3" w:rsidRPr="008365A2" w:rsidRDefault="00C248D3" w:rsidP="00957B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1 224,8</w:t>
            </w:r>
          </w:p>
        </w:tc>
        <w:tc>
          <w:tcPr>
            <w:tcW w:w="1701" w:type="dxa"/>
          </w:tcPr>
          <w:p w:rsidR="00C248D3" w:rsidRPr="008365A2" w:rsidRDefault="00C248D3" w:rsidP="00957B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-229,4</w:t>
            </w:r>
          </w:p>
        </w:tc>
        <w:tc>
          <w:tcPr>
            <w:tcW w:w="1843" w:type="dxa"/>
          </w:tcPr>
          <w:p w:rsidR="00C248D3" w:rsidRPr="008365A2" w:rsidRDefault="00C248D3" w:rsidP="00957B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-15,8</w:t>
            </w:r>
          </w:p>
        </w:tc>
      </w:tr>
    </w:tbl>
    <w:p w:rsidR="00C248D3" w:rsidRDefault="00C248D3" w:rsidP="00C2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D1" w:rsidRDefault="00957BD1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34" w:rsidRDefault="00E72434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57BD1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72434" w:rsidRPr="000F71B4" w:rsidRDefault="00957BD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A53927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A5392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A53927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A5392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A5392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A53927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года исполнение по безвозмездн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ым поступлениям составило </w:t>
      </w:r>
      <w:r w:rsidR="00A53927">
        <w:rPr>
          <w:rFonts w:ascii="Times New Roman" w:hAnsi="Times New Roman" w:cs="Times New Roman"/>
          <w:sz w:val="28"/>
          <w:szCs w:val="28"/>
          <w:lang w:eastAsia="ru-RU"/>
        </w:rPr>
        <w:t>6 230,2</w:t>
      </w:r>
      <w:r w:rsidR="00430A50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53927">
        <w:rPr>
          <w:rFonts w:ascii="Times New Roman" w:hAnsi="Times New Roman" w:cs="Times New Roman"/>
          <w:sz w:val="28"/>
          <w:szCs w:val="28"/>
          <w:lang w:eastAsia="ru-RU"/>
        </w:rPr>
        <w:t>2,8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% к </w:t>
      </w:r>
      <w:r w:rsidR="00A7692C" w:rsidRPr="000F71B4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2434" w:rsidRPr="000F71B4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Анализ структуры безвозмездных поступлений в бюдж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ет МО Липицкое за </w:t>
      </w:r>
      <w:r w:rsidR="003650E8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3650E8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650E8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3650E8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3650E8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3650E8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в таблице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№4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</w:t>
      </w:r>
    </w:p>
    <w:p w:rsidR="0055160B" w:rsidRPr="009A63BB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72434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 w:rsid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591"/>
        <w:gridCol w:w="2267"/>
        <w:gridCol w:w="1842"/>
      </w:tblGrid>
      <w:tr w:rsidR="00E72434" w:rsidTr="00D156EA">
        <w:trPr>
          <w:tblHeader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Наименование</w:t>
            </w:r>
          </w:p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34" w:rsidRPr="00D156EA" w:rsidRDefault="00D156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0B10" w:rsidRPr="00D156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F71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E72434" w:rsidRPr="00D156EA" w:rsidRDefault="00E72434" w:rsidP="005516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D156EA" w:rsidRDefault="00260B10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650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0F71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72434"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E72434" w:rsidRPr="00D156EA" w:rsidRDefault="00E7243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34" w:rsidRPr="00D156EA" w:rsidRDefault="00E72434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E72434" w:rsidRPr="00D156EA" w:rsidTr="00D156EA">
        <w:trPr>
          <w:gridAfter w:val="1"/>
          <w:wAfter w:w="1842" w:type="dxa"/>
          <w:trHeight w:val="70"/>
          <w:tblHeader/>
        </w:trPr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D156EA" w:rsidRDefault="00E72434">
            <w:pPr>
              <w:spacing w:after="0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D156EA" w:rsidRDefault="00E724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434" w:rsidTr="007601BF">
        <w:trPr>
          <w:trHeight w:val="265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F71B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0F71B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49,4</w:t>
            </w:r>
          </w:p>
        </w:tc>
      </w:tr>
      <w:tr w:rsidR="000F71B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B4" w:rsidRPr="00D156EA" w:rsidRDefault="000F71B4" w:rsidP="000F71B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217 962,1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4 199,4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1,9</w:t>
            </w:r>
          </w:p>
        </w:tc>
      </w:tr>
      <w:tr w:rsidR="000F71B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4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Default="00FB0FEF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0F71B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4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Default="00FB0FEF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1B4" w:rsidRPr="00897D9B" w:rsidRDefault="00FB0FEF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E72434" w:rsidTr="0055160B">
        <w:trPr>
          <w:trHeight w:val="268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434" w:rsidRPr="00D156EA" w:rsidRDefault="00FB0FEF" w:rsidP="00E71F52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222 028,9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434" w:rsidRPr="000F71B4" w:rsidRDefault="00FB0FEF" w:rsidP="000F71B4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6 230,2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434" w:rsidRPr="000F71B4" w:rsidRDefault="00FB0FEF" w:rsidP="00FB0FE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2,8</w:t>
            </w:r>
          </w:p>
        </w:tc>
      </w:tr>
    </w:tbl>
    <w:p w:rsidR="00AF50D3" w:rsidRDefault="000D3A4F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9766E" w:rsidRPr="0099766E">
        <w:rPr>
          <w:lang w:eastAsia="ru-RU"/>
        </w:rPr>
        <w:t xml:space="preserve"> </w:t>
      </w:r>
    </w:p>
    <w:p w:rsidR="0099766E" w:rsidRPr="002B6DF1" w:rsidRDefault="00AF50D3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доля безвозмездных поступлений </w:t>
      </w:r>
      <w:r w:rsidR="0057330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B0FEF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структуре налоговых и неналоговых доходов в бюджете МО </w:t>
      </w:r>
      <w:r w:rsidR="00FB0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FB0FEF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FB0FEF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0FEF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FB0FEF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FB0FEF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FB0FEF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FB0FEF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FB0FEF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B0FEF">
        <w:rPr>
          <w:rFonts w:ascii="Times New Roman" w:hAnsi="Times New Roman" w:cs="Times New Roman"/>
          <w:sz w:val="28"/>
          <w:szCs w:val="28"/>
          <w:lang w:eastAsia="ru-RU"/>
        </w:rPr>
        <w:t>71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%. Следует отметить низкое поступление в текущем году межбюджетных трансфертов из бюджета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МО Чернский район (</w:t>
      </w:r>
      <w:r w:rsidR="009E369E">
        <w:rPr>
          <w:rFonts w:ascii="Times New Roman" w:hAnsi="Times New Roman" w:cs="Times New Roman"/>
          <w:sz w:val="28"/>
          <w:szCs w:val="28"/>
          <w:lang w:eastAsia="ru-RU"/>
        </w:rPr>
        <w:t>1,9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выделяются по заявке муниципального образования под фактические расходы. </w:t>
      </w:r>
    </w:p>
    <w:p w:rsidR="00430A50" w:rsidRDefault="00430A5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2434" w:rsidRPr="003A4620" w:rsidRDefault="003A462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72434"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асходы бюджета муниципального образования</w:t>
      </w:r>
    </w:p>
    <w:p w:rsidR="00E72434" w:rsidRPr="003A4620" w:rsidRDefault="00E72434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Липицкое</w:t>
      </w:r>
    </w:p>
    <w:p w:rsidR="00514F24" w:rsidRPr="00514F24" w:rsidRDefault="00514F24" w:rsidP="00514F24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F24" w:rsidRPr="002B6DF1" w:rsidRDefault="00BE0FED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Липицкое по расходам исполнен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8 983,2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,9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514F24" w:rsidRPr="002B6DF1" w:rsidRDefault="00514F24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 w:rsidR="009E26B2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F71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составили расходы по следующим разделам: «Общегосударственные расходы» - </w:t>
      </w:r>
      <w:r w:rsidR="00311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32,3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311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«Культура и кинематография»-</w:t>
      </w:r>
      <w:r w:rsidR="00A7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311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1,4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E72434" w:rsidRPr="002B6DF1" w:rsidRDefault="008E60CB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МО Липицкое за </w:t>
      </w:r>
      <w:r w:rsidR="00E521A6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E6CB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№5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71B4" w:rsidRDefault="000F71B4" w:rsidP="003A4620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4620" w:rsidRPr="009A63BB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A4620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2"/>
        <w:gridCol w:w="1550"/>
        <w:gridCol w:w="1127"/>
        <w:gridCol w:w="1165"/>
        <w:gridCol w:w="1230"/>
        <w:gridCol w:w="1268"/>
        <w:gridCol w:w="1408"/>
      </w:tblGrid>
      <w:tr w:rsidR="00E72434" w:rsidRPr="00C00A4D" w:rsidTr="003A4620">
        <w:trPr>
          <w:trHeight w:val="432"/>
          <w:tblHeader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:rsidR="00424E7A" w:rsidRPr="00C00A4D" w:rsidRDefault="00424E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424E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4A63A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:rsidR="00E72434" w:rsidRPr="00C00A4D" w:rsidRDefault="00E724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 w:rsidP="007A431C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Удельный вес в об</w:t>
            </w:r>
            <w:r w:rsidR="00BE321C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щем объеме ра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сходов за </w:t>
            </w:r>
            <w:r w:rsidR="009E26B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 полугодие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7A431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4A63A3" w:rsidRPr="00C00A4D" w:rsidTr="009E26B2">
        <w:trPr>
          <w:trHeight w:val="960"/>
          <w:tblHeader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9E26B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2022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9E26B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A63A3" w:rsidRPr="00C00A4D" w:rsidTr="009E26B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A63A3" w:rsidRPr="00C00A4D" w:rsidTr="009E26B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7 217,6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3 353,1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2 905,1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F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F2CD2">
              <w:rPr>
                <w:rFonts w:ascii="Times New Roman" w:eastAsia="Times New Roman" w:hAnsi="Times New Roman" w:cs="Times New Roman"/>
                <w:lang w:eastAsia="ru-RU"/>
              </w:rPr>
              <w:t>448,0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4A63A3" w:rsidRPr="00C00A4D" w:rsidTr="009E26B2">
        <w:trPr>
          <w:trHeight w:val="341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+33,9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4A63A3" w:rsidRPr="00C00A4D" w:rsidTr="009E26B2">
        <w:trPr>
          <w:trHeight w:val="134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«Национальная безопасность и правоохранитель-</w:t>
            </w:r>
          </w:p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ная</w:t>
            </w:r>
            <w:proofErr w:type="spellEnd"/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деятельность»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B27E00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A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A63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A34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4A63A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C21B59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C21B59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A63A3" w:rsidRPr="00C00A4D" w:rsidTr="009E26B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6931A7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211</w:t>
            </w:r>
            <w:r w:rsidR="00172C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  <w:r w:rsidR="00172C7A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3 394,7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2 073,0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-1 321,7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4A63A3" w:rsidRPr="00C00A4D" w:rsidTr="009E26B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 хозяйство»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4 593,2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907,9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1 072,4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+164,5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4A63A3" w:rsidRPr="00C00A4D" w:rsidTr="009E26B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3" w:rsidRPr="00C00A4D" w:rsidRDefault="004A63A3" w:rsidP="004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 и кинематография»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7 031,8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2 674,4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2 820,3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0F14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311874" w:rsidP="000F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14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4A63A3" w:rsidRPr="00C00A4D" w:rsidTr="009E26B2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A3" w:rsidRPr="00C00A4D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B27E00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10B4A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311874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A63A3" w:rsidRPr="00C00A4D" w:rsidTr="00151B15">
        <w:trPr>
          <w:trHeight w:val="534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A3" w:rsidRPr="00C00A4D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A1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</w:t>
            </w:r>
            <w:r w:rsidR="00A10A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663,</w:t>
            </w:r>
            <w:r w:rsidR="006931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10 775,6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AA34CC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8 983,2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-1 792,4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F2CD2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D4299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E72434" w:rsidRPr="00C00A4D" w:rsidRDefault="00E72434" w:rsidP="00E72434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        </w:t>
      </w:r>
    </w:p>
    <w:p w:rsidR="000F71B4" w:rsidRDefault="00E72434" w:rsidP="005C20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</w:t>
      </w:r>
    </w:p>
    <w:p w:rsidR="005C206E" w:rsidRDefault="00BE6CB2" w:rsidP="005C20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E724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результате анализа </w:t>
      </w:r>
      <w:r w:rsidR="003B15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расходов бюджета муниципального образования </w:t>
      </w:r>
      <w:r w:rsidR="00E724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выявлено низкое исполнение по раздел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 «Национальная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оборона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</w:t>
      </w:r>
      <w:r w:rsidR="00806B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разделу 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«Национальная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правоохранитель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деятельность»</w:t>
      </w:r>
      <w:r w:rsidR="005C206E" w:rsidRPr="00D7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AD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</w:t>
      </w:r>
      <w:r w:rsidR="00AD426D" w:rsidRPr="00D7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D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="00AD426D" w:rsidRPr="00D7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06B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23,1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%, </w:t>
      </w:r>
      <w:r w:rsidR="00806B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разделу «Жилищно-коммунальное хозяйство» 11,9%,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разделу «Физическая культура и спорт» 0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плановым показателям, утверждённым на 202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уточненному годовому плану. </w:t>
      </w:r>
    </w:p>
    <w:p w:rsidR="00D773A5" w:rsidRPr="002B6DF1" w:rsidRDefault="005C206E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806B8A">
        <w:rPr>
          <w:rFonts w:ascii="Times New Roman" w:hAnsi="Times New Roman" w:cs="Times New Roman"/>
          <w:sz w:val="28"/>
          <w:szCs w:val="28"/>
          <w:lang w:eastAsia="ru-RU"/>
        </w:rPr>
        <w:t>2,4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806B8A">
        <w:rPr>
          <w:rFonts w:ascii="Times New Roman" w:hAnsi="Times New Roman" w:cs="Times New Roman"/>
          <w:sz w:val="28"/>
          <w:szCs w:val="28"/>
          <w:lang w:eastAsia="ru-RU"/>
        </w:rPr>
        <w:t>220 527,0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освоено </w:t>
      </w:r>
      <w:r w:rsidR="00806B8A">
        <w:rPr>
          <w:rFonts w:ascii="Times New Roman" w:hAnsi="Times New Roman" w:cs="Times New Roman"/>
          <w:sz w:val="28"/>
          <w:szCs w:val="28"/>
          <w:lang w:eastAsia="ru-RU"/>
        </w:rPr>
        <w:t>5 374,7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Из 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программ, предусмотренных на исполнение в бюджете муниципального образования, по </w:t>
      </w:r>
      <w:r w:rsidR="00806B8A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</w:t>
      </w:r>
      <w:r w:rsidR="005C206E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«Развитие физической культуры, спорта и повышение эффективности реализации молодёжной политики в МО Липицкое Чернского района</w:t>
      </w:r>
      <w:r w:rsidR="004C3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2021-2026 год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годовой план </w:t>
      </w:r>
      <w:r w:rsidR="005C206E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5B0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тыс.руб.;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4CAD" w:rsidRPr="007B4CAD">
        <w:rPr>
          <w:rFonts w:ascii="Times New Roman" w:hAnsi="Times New Roman" w:cs="Times New Roman"/>
          <w:bCs/>
          <w:sz w:val="28"/>
          <w:szCs w:val="28"/>
        </w:rPr>
        <w:t>«Энергосбережение и повышение энергетической эффективности в муниципальном образовании Липицкое Чернского района на 2020-2025 годы»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годовой план -</w:t>
      </w:r>
      <w:r w:rsidR="005C206E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0E89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68E0" w:rsidRDefault="008268E0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4CAD" w:rsidRPr="007B4CAD">
        <w:rPr>
          <w:rFonts w:ascii="Times New Roman" w:hAnsi="Times New Roman" w:cs="Times New Roman"/>
          <w:iCs/>
          <w:sz w:val="28"/>
          <w:szCs w:val="28"/>
        </w:rPr>
        <w:t>«Защита населения и территории муниципального образования Липицкое Чернского района от чрезвычайных ситуаций на 2020-2025 годы»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– </w:t>
      </w:r>
      <w:r w:rsidR="004F7B2A" w:rsidRPr="002B6DF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420ED2" w:rsidRPr="00420ED2" w:rsidRDefault="00420ED2" w:rsidP="00420ED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ED2">
        <w:rPr>
          <w:rFonts w:ascii="Times New Roman" w:hAnsi="Times New Roman" w:cs="Times New Roman"/>
          <w:iCs/>
          <w:sz w:val="28"/>
          <w:szCs w:val="28"/>
        </w:rPr>
        <w:t>«Управление муниципальным имуществом и земельными ресурсами муниципального образования Липицкое Чернского района на 2021-2026 годы»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4C36AB">
        <w:rPr>
          <w:rFonts w:ascii="Times New Roman" w:hAnsi="Times New Roman" w:cs="Times New Roman"/>
          <w:sz w:val="28"/>
          <w:szCs w:val="28"/>
          <w:lang w:eastAsia="ru-RU"/>
        </w:rPr>
        <w:t>0,0 тыс. рублей.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9779D7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4C36AB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:rsidR="004C36AB" w:rsidRPr="002B6DF1" w:rsidRDefault="004C36AB" w:rsidP="004C36AB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- «Модернизация и развитие автомобильных дорог общего пользования в МО Липицкое Чернского района»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0,4% от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209 467,6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55A6" w:rsidRPr="00FF55A6">
        <w:rPr>
          <w:rFonts w:ascii="Times New Roman" w:hAnsi="Times New Roman" w:cs="Times New Roman"/>
          <w:bCs/>
          <w:sz w:val="28"/>
          <w:szCs w:val="28"/>
        </w:rPr>
        <w:t>"</w:t>
      </w:r>
      <w:r w:rsidR="004C36AB">
        <w:rPr>
          <w:rFonts w:ascii="Times New Roman" w:hAnsi="Times New Roman" w:cs="Times New Roman"/>
          <w:bCs/>
          <w:sz w:val="28"/>
          <w:szCs w:val="28"/>
        </w:rPr>
        <w:t>Финансовое обеспечение программных продуктов</w:t>
      </w:r>
      <w:r w:rsidR="00FF55A6" w:rsidRPr="00FF55A6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C36AB">
        <w:rPr>
          <w:rFonts w:ascii="Times New Roman" w:hAnsi="Times New Roman" w:cs="Times New Roman"/>
          <w:bCs/>
          <w:sz w:val="28"/>
          <w:szCs w:val="28"/>
        </w:rPr>
        <w:t>3</w:t>
      </w:r>
      <w:r w:rsidR="00FF55A6" w:rsidRPr="00FF55A6">
        <w:rPr>
          <w:rFonts w:ascii="Times New Roman" w:hAnsi="Times New Roman" w:cs="Times New Roman"/>
          <w:bCs/>
          <w:sz w:val="28"/>
          <w:szCs w:val="28"/>
        </w:rPr>
        <w:t>-202</w:t>
      </w:r>
      <w:r w:rsidR="004C36AB">
        <w:rPr>
          <w:rFonts w:ascii="Times New Roman" w:hAnsi="Times New Roman" w:cs="Times New Roman"/>
          <w:bCs/>
          <w:sz w:val="28"/>
          <w:szCs w:val="28"/>
        </w:rPr>
        <w:t>7</w:t>
      </w:r>
      <w:r w:rsidR="00FF55A6" w:rsidRPr="00FF55A6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F55A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36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4C36AB">
        <w:rPr>
          <w:rFonts w:ascii="Times New Roman" w:hAnsi="Times New Roman" w:cs="Times New Roman"/>
          <w:sz w:val="28"/>
          <w:szCs w:val="28"/>
          <w:lang w:eastAsia="ru-RU"/>
        </w:rPr>
        <w:t>80,4</w:t>
      </w:r>
      <w:r w:rsidR="00110E89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110E89" w:rsidRPr="002B6D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0E89" w:rsidRPr="002B6DF1" w:rsidRDefault="00110E89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-«Обеспечение качественным жильём и услугами ЖКХ населения МО Липицкое Чернского района» исполнение </w:t>
      </w:r>
      <w:r w:rsidR="004C36AB">
        <w:rPr>
          <w:rFonts w:ascii="Times New Roman" w:hAnsi="Times New Roman" w:cs="Times New Roman"/>
          <w:sz w:val="28"/>
          <w:szCs w:val="28"/>
          <w:lang w:eastAsia="ru-RU"/>
        </w:rPr>
        <w:t>32,9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 от годового плана </w:t>
      </w:r>
      <w:r w:rsidR="008B7442">
        <w:rPr>
          <w:rFonts w:ascii="Times New Roman" w:hAnsi="Times New Roman" w:cs="Times New Roman"/>
          <w:sz w:val="28"/>
          <w:szCs w:val="28"/>
          <w:lang w:eastAsia="ru-RU"/>
        </w:rPr>
        <w:t>2 050,0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268E0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1A7E" w:rsidRPr="002B6DF1" w:rsidRDefault="00341A7E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 пояснительной записки, приложенной к отчету об исполнении бюджета МО</w:t>
      </w:r>
      <w:r w:rsidR="00790C4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Липицкое за 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C54BC">
        <w:rPr>
          <w:rFonts w:ascii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167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75967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процента освоения денежных средств по</w:t>
      </w:r>
      <w:r w:rsidR="0037596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муниципальным программам является то</w:t>
      </w:r>
      <w:r w:rsidR="0000065D" w:rsidRPr="002B6DF1">
        <w:rPr>
          <w:rFonts w:ascii="Times New Roman" w:hAnsi="Times New Roman" w:cs="Times New Roman"/>
          <w:sz w:val="28"/>
          <w:szCs w:val="28"/>
        </w:rPr>
        <w:t>,</w:t>
      </w:r>
      <w:r w:rsidRPr="002B6DF1">
        <w:rPr>
          <w:rFonts w:ascii="Times New Roman" w:hAnsi="Times New Roman" w:cs="Times New Roman"/>
          <w:sz w:val="28"/>
          <w:szCs w:val="28"/>
        </w:rPr>
        <w:t xml:space="preserve"> что работы по вышеназванным программам будут производиться в 3</w:t>
      </w:r>
      <w:r w:rsidR="00AC54BC">
        <w:rPr>
          <w:rFonts w:ascii="Times New Roman" w:hAnsi="Times New Roman" w:cs="Times New Roman"/>
          <w:sz w:val="28"/>
          <w:szCs w:val="28"/>
        </w:rPr>
        <w:t>-4</w:t>
      </w:r>
      <w:r w:rsidRPr="002B6DF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75967" w:rsidRPr="002B6DF1">
        <w:rPr>
          <w:rFonts w:ascii="Times New Roman" w:hAnsi="Times New Roman" w:cs="Times New Roman"/>
          <w:sz w:val="28"/>
          <w:szCs w:val="28"/>
        </w:rPr>
        <w:t>ах</w:t>
      </w:r>
      <w:r w:rsidRPr="002B6DF1">
        <w:rPr>
          <w:rFonts w:ascii="Times New Roman" w:hAnsi="Times New Roman" w:cs="Times New Roman"/>
          <w:sz w:val="28"/>
          <w:szCs w:val="28"/>
        </w:rPr>
        <w:t xml:space="preserve"> текущего года, соответственно и оплата выполненных работ будет произведена в 3-4 кварталах текущего года. </w:t>
      </w:r>
    </w:p>
    <w:p w:rsidR="002B6DF1" w:rsidRPr="002B6DF1" w:rsidRDefault="002B6DF1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AA" w:rsidRPr="002B6DF1" w:rsidRDefault="00CE4BAA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Анализ структуры кре</w:t>
      </w:r>
      <w:r w:rsidR="00BD5402" w:rsidRPr="002B6DF1">
        <w:rPr>
          <w:rFonts w:ascii="Times New Roman" w:hAnsi="Times New Roman" w:cs="Times New Roman"/>
          <w:b/>
          <w:sz w:val="28"/>
          <w:szCs w:val="28"/>
        </w:rPr>
        <w:t>диторской задолженности бюджета</w:t>
      </w:r>
      <w:r w:rsidRPr="002B6D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Липицкое</w:t>
      </w:r>
    </w:p>
    <w:p w:rsidR="00CE4BAA" w:rsidRPr="002B6DF1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Просроченной кредиторской задолженности у бюджета муниципального образования Липицкое</w:t>
      </w:r>
      <w:r w:rsidR="0000065D" w:rsidRPr="002B6DF1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Pr="002B6DF1">
        <w:rPr>
          <w:rFonts w:ascii="Times New Roman" w:hAnsi="Times New Roman" w:cs="Times New Roman"/>
          <w:sz w:val="28"/>
          <w:szCs w:val="28"/>
        </w:rPr>
        <w:t>района на 01.0</w:t>
      </w:r>
      <w:r w:rsidR="00E8587E">
        <w:rPr>
          <w:rFonts w:ascii="Times New Roman" w:hAnsi="Times New Roman" w:cs="Times New Roman"/>
          <w:sz w:val="28"/>
          <w:szCs w:val="28"/>
        </w:rPr>
        <w:t>7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CF4B36">
        <w:rPr>
          <w:rFonts w:ascii="Times New Roman" w:hAnsi="Times New Roman" w:cs="Times New Roman"/>
          <w:sz w:val="28"/>
          <w:szCs w:val="28"/>
        </w:rPr>
        <w:t>3</w:t>
      </w:r>
      <w:r w:rsidRPr="002B6DF1">
        <w:rPr>
          <w:rFonts w:ascii="Times New Roman" w:hAnsi="Times New Roman" w:cs="Times New Roman"/>
          <w:sz w:val="28"/>
          <w:szCs w:val="28"/>
        </w:rPr>
        <w:t xml:space="preserve"> г. не имеется.</w:t>
      </w:r>
      <w:r w:rsidR="001C44A6" w:rsidRPr="002B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A6" w:rsidRPr="002B6DF1" w:rsidRDefault="001C44A6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предоставленного отчета </w:t>
      </w:r>
      <w:r w:rsidRPr="002B6DF1">
        <w:rPr>
          <w:rFonts w:ascii="Times New Roman" w:hAnsi="Times New Roman" w:cs="Times New Roman"/>
          <w:sz w:val="28"/>
          <w:szCs w:val="28"/>
        </w:rPr>
        <w:t>кредиторск</w:t>
      </w:r>
      <w:r w:rsidR="003D399E" w:rsidRPr="002B6DF1">
        <w:rPr>
          <w:rFonts w:ascii="Times New Roman" w:hAnsi="Times New Roman" w:cs="Times New Roman"/>
          <w:sz w:val="28"/>
          <w:szCs w:val="28"/>
        </w:rPr>
        <w:t>ая</w:t>
      </w:r>
      <w:r w:rsidRPr="002B6DF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D399E" w:rsidRPr="002B6DF1">
        <w:rPr>
          <w:rFonts w:ascii="Times New Roman" w:hAnsi="Times New Roman" w:cs="Times New Roman"/>
          <w:sz w:val="28"/>
          <w:szCs w:val="28"/>
        </w:rPr>
        <w:t>ь</w:t>
      </w:r>
      <w:r w:rsidRPr="002B6DF1">
        <w:rPr>
          <w:rFonts w:ascii="Times New Roman" w:hAnsi="Times New Roman" w:cs="Times New Roman"/>
          <w:sz w:val="28"/>
          <w:szCs w:val="28"/>
        </w:rPr>
        <w:t xml:space="preserve"> бюджета МО Липицкое Чернского района на 01.0</w:t>
      </w:r>
      <w:r w:rsidR="00E8587E">
        <w:rPr>
          <w:rFonts w:ascii="Times New Roman" w:hAnsi="Times New Roman" w:cs="Times New Roman"/>
          <w:sz w:val="28"/>
          <w:szCs w:val="28"/>
        </w:rPr>
        <w:t>7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CF4B36">
        <w:rPr>
          <w:rFonts w:ascii="Times New Roman" w:hAnsi="Times New Roman" w:cs="Times New Roman"/>
          <w:sz w:val="28"/>
          <w:szCs w:val="28"/>
        </w:rPr>
        <w:t>3</w:t>
      </w:r>
      <w:r w:rsidRPr="002B6DF1">
        <w:rPr>
          <w:rFonts w:ascii="Times New Roman" w:hAnsi="Times New Roman" w:cs="Times New Roman"/>
          <w:sz w:val="28"/>
          <w:szCs w:val="28"/>
        </w:rPr>
        <w:t xml:space="preserve"> г.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F4B36">
        <w:rPr>
          <w:rFonts w:ascii="Times New Roman" w:hAnsi="Times New Roman" w:cs="Times New Roman"/>
          <w:sz w:val="28"/>
          <w:szCs w:val="28"/>
        </w:rPr>
        <w:t>70,</w:t>
      </w:r>
      <w:r w:rsidR="00E8587E">
        <w:rPr>
          <w:rFonts w:ascii="Times New Roman" w:hAnsi="Times New Roman" w:cs="Times New Roman"/>
          <w:sz w:val="28"/>
          <w:szCs w:val="28"/>
        </w:rPr>
        <w:t>6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тыс. рублей</w:t>
      </w:r>
      <w:r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CF4B36">
        <w:rPr>
          <w:rFonts w:ascii="Times New Roman" w:hAnsi="Times New Roman" w:cs="Times New Roman"/>
          <w:sz w:val="28"/>
          <w:szCs w:val="28"/>
        </w:rPr>
        <w:t>уменьшилась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CF4B36">
        <w:rPr>
          <w:rFonts w:ascii="Times New Roman" w:hAnsi="Times New Roman" w:cs="Times New Roman"/>
          <w:sz w:val="28"/>
          <w:szCs w:val="28"/>
        </w:rPr>
        <w:t>3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CF4B36">
        <w:rPr>
          <w:rFonts w:ascii="Times New Roman" w:hAnsi="Times New Roman" w:cs="Times New Roman"/>
          <w:sz w:val="28"/>
          <w:szCs w:val="28"/>
        </w:rPr>
        <w:t>274,2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F0E12" w:rsidRPr="002B6DF1" w:rsidRDefault="000F0E12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AA" w:rsidRPr="002B6DF1" w:rsidRDefault="00CE4BAA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 муниципального образования Липицкое</w:t>
      </w:r>
    </w:p>
    <w:p w:rsidR="00CE4BAA" w:rsidRPr="002B6DF1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DF1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</w:t>
      </w:r>
      <w:r w:rsidR="00B5203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Липицкое Чернског</w:t>
      </w:r>
      <w:r w:rsidR="003D399E" w:rsidRPr="002B6DF1">
        <w:rPr>
          <w:rFonts w:ascii="Times New Roman" w:hAnsi="Times New Roman" w:cs="Times New Roman"/>
          <w:sz w:val="28"/>
          <w:szCs w:val="28"/>
        </w:rPr>
        <w:t>о района по состоянию на 01.0</w:t>
      </w:r>
      <w:r w:rsidR="00E8587E">
        <w:rPr>
          <w:rFonts w:ascii="Times New Roman" w:hAnsi="Times New Roman" w:cs="Times New Roman"/>
          <w:sz w:val="28"/>
          <w:szCs w:val="28"/>
        </w:rPr>
        <w:t>7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FB17BA">
        <w:rPr>
          <w:rFonts w:ascii="Times New Roman" w:hAnsi="Times New Roman" w:cs="Times New Roman"/>
          <w:sz w:val="28"/>
          <w:szCs w:val="28"/>
        </w:rPr>
        <w:t>3</w:t>
      </w:r>
      <w:r w:rsidRPr="002B6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:rsidR="002B6DF1" w:rsidRDefault="002B6DF1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4BAA" w:rsidRPr="00CE4BAA" w:rsidRDefault="00CE4BAA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BAA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Липицкое</w:t>
      </w:r>
    </w:p>
    <w:p w:rsidR="00CE4BAA" w:rsidRDefault="00CE4BAA" w:rsidP="00CE4BAA">
      <w:pPr>
        <w:spacing w:line="25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BAA">
        <w:rPr>
          <w:rFonts w:ascii="Times New Roman" w:hAnsi="Times New Roman" w:cs="Times New Roman"/>
          <w:sz w:val="28"/>
          <w:szCs w:val="24"/>
        </w:rPr>
        <w:t xml:space="preserve">      Средства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>Липицкое</w:t>
      </w:r>
      <w:r w:rsidRPr="00CE4BAA">
        <w:rPr>
          <w:rFonts w:ascii="Times New Roman" w:hAnsi="Times New Roman" w:cs="Times New Roman"/>
          <w:sz w:val="28"/>
          <w:szCs w:val="24"/>
        </w:rPr>
        <w:t xml:space="preserve"> не расходовались (план 10,0 тыс. руб.).</w:t>
      </w:r>
    </w:p>
    <w:p w:rsidR="00417C16" w:rsidRPr="00417C16" w:rsidRDefault="00417C16" w:rsidP="003D3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информации о численности и фактических затратах на денежное содержание работников органов местного самоуправления за </w:t>
      </w:r>
      <w:r w:rsidR="00A2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E85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полугодие 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B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417C16" w:rsidRPr="002B6DF1" w:rsidRDefault="002B6DF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Липицкое, фактическая численность работников администрации муниципального образования Липицкое замещающих должности муниципальной службы, замещающих должности, не являющимися должностями муниципальной службы    по состоянию на 01.0</w:t>
      </w:r>
      <w:r w:rsidR="00E8587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,5 единиц</w:t>
      </w:r>
      <w:r w:rsidR="002C667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(утверждено по штатному расписанию 1</w:t>
      </w:r>
      <w:r w:rsidR="004801A2">
        <w:rPr>
          <w:rFonts w:ascii="Times New Roman" w:hAnsi="Times New Roman" w:cs="Times New Roman"/>
          <w:sz w:val="28"/>
          <w:szCs w:val="28"/>
          <w:lang w:eastAsia="ru-RU"/>
        </w:rPr>
        <w:t xml:space="preserve">4,5 единиц), </w:t>
      </w:r>
      <w:r w:rsidR="00591553">
        <w:rPr>
          <w:rFonts w:ascii="Times New Roman" w:hAnsi="Times New Roman" w:cs="Times New Roman"/>
          <w:sz w:val="28"/>
          <w:szCs w:val="28"/>
          <w:lang w:eastAsia="ru-RU"/>
        </w:rPr>
        <w:t xml:space="preserve">на 01.07.2023 года </w:t>
      </w:r>
      <w:r w:rsidR="004801A2">
        <w:rPr>
          <w:rFonts w:ascii="Times New Roman" w:hAnsi="Times New Roman" w:cs="Times New Roman"/>
          <w:sz w:val="28"/>
          <w:szCs w:val="28"/>
          <w:lang w:eastAsia="ru-RU"/>
        </w:rPr>
        <w:t>вакансий нет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17C16" w:rsidRPr="002B6DF1" w:rsidRDefault="00417C16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приложения № 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фактические затраты 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на денежное содержание </w:t>
      </w:r>
      <w:r w:rsidR="007A6E4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E8587E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587E">
        <w:rPr>
          <w:rFonts w:ascii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 </w:t>
      </w:r>
      <w:r w:rsidR="00E8587E">
        <w:rPr>
          <w:rFonts w:ascii="Times New Roman" w:hAnsi="Times New Roman" w:cs="Times New Roman"/>
          <w:sz w:val="28"/>
          <w:szCs w:val="28"/>
          <w:lang w:eastAsia="ru-RU"/>
        </w:rPr>
        <w:t>1 996,7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B6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E4BAA" w:rsidRDefault="00CE4BAA" w:rsidP="00341A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434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</w:t>
      </w:r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ального образования Липицкое</w:t>
      </w:r>
    </w:p>
    <w:p w:rsidR="00611841" w:rsidRPr="002B6DF1" w:rsidRDefault="00E7243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муниципального образования Липицкое     от 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5894" w:rsidRPr="002B6DF1">
        <w:rPr>
          <w:rFonts w:ascii="Times New Roman" w:hAnsi="Times New Roman" w:cs="Times New Roman"/>
          <w:sz w:val="28"/>
          <w:szCs w:val="28"/>
          <w:lang w:eastAsia="ru-RU"/>
        </w:rPr>
        <w:t>2-1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Липицкое Чернского района на 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Липицкое утверждён без дефицита. 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Липицкое от </w:t>
      </w:r>
      <w:r w:rsidR="001A2E93" w:rsidRPr="002B6DF1">
        <w:rPr>
          <w:rFonts w:ascii="Times New Roman" w:hAnsi="Times New Roman" w:cs="Times New Roman"/>
          <w:sz w:val="28"/>
          <w:szCs w:val="28"/>
        </w:rPr>
        <w:t>3</w:t>
      </w:r>
      <w:r w:rsidR="0046565E">
        <w:rPr>
          <w:rFonts w:ascii="Times New Roman" w:hAnsi="Times New Roman" w:cs="Times New Roman"/>
          <w:sz w:val="28"/>
          <w:szCs w:val="28"/>
        </w:rPr>
        <w:t>1</w:t>
      </w:r>
      <w:r w:rsidR="00611841" w:rsidRPr="002B6DF1">
        <w:rPr>
          <w:rFonts w:ascii="Times New Roman" w:hAnsi="Times New Roman" w:cs="Times New Roman"/>
          <w:sz w:val="28"/>
          <w:szCs w:val="28"/>
        </w:rPr>
        <w:t>.03.202</w:t>
      </w:r>
      <w:r w:rsidR="0046565E">
        <w:rPr>
          <w:rFonts w:ascii="Times New Roman" w:hAnsi="Times New Roman" w:cs="Times New Roman"/>
          <w:sz w:val="28"/>
          <w:szCs w:val="28"/>
        </w:rPr>
        <w:t>3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№</w:t>
      </w:r>
      <w:r w:rsidR="0046565E">
        <w:rPr>
          <w:rFonts w:ascii="Times New Roman" w:hAnsi="Times New Roman" w:cs="Times New Roman"/>
          <w:sz w:val="28"/>
          <w:szCs w:val="28"/>
        </w:rPr>
        <w:t>56</w:t>
      </w:r>
      <w:r w:rsidR="00611841" w:rsidRPr="002B6DF1">
        <w:rPr>
          <w:rFonts w:ascii="Times New Roman" w:hAnsi="Times New Roman" w:cs="Times New Roman"/>
          <w:sz w:val="28"/>
          <w:szCs w:val="28"/>
        </w:rPr>
        <w:t>-</w:t>
      </w:r>
      <w:r w:rsidR="004D0ADE" w:rsidRPr="002B6DF1">
        <w:rPr>
          <w:rFonts w:ascii="Times New Roman" w:hAnsi="Times New Roman" w:cs="Times New Roman"/>
          <w:sz w:val="28"/>
          <w:szCs w:val="28"/>
        </w:rPr>
        <w:t>1</w:t>
      </w:r>
      <w:r w:rsidR="001A2E93" w:rsidRPr="002B6DF1">
        <w:rPr>
          <w:rFonts w:ascii="Times New Roman" w:hAnsi="Times New Roman" w:cs="Times New Roman"/>
          <w:sz w:val="28"/>
          <w:szCs w:val="28"/>
        </w:rPr>
        <w:t>7</w:t>
      </w:r>
      <w:r w:rsidR="0046565E">
        <w:rPr>
          <w:rFonts w:ascii="Times New Roman" w:hAnsi="Times New Roman" w:cs="Times New Roman"/>
          <w:sz w:val="28"/>
          <w:szCs w:val="28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Липицкое Чернского района от 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>2-1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Липицкое Чернского района на 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Липицкое утверждён с дефицитом в сумме 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400</w:t>
      </w:r>
      <w:r w:rsidR="001A2E93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1841" w:rsidRPr="002B6DF1" w:rsidRDefault="0061184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 постановления администрации муниципального образования Липицкое Чернского района от 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1A2E93" w:rsidRPr="002B6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отчёта об исполнении бюджета муниципального образования Липицкое Чернского района за </w:t>
      </w:r>
      <w:r w:rsidR="00DF7C63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бюджет исполнен с 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>дефицитом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>311,1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:rsidR="00E72434" w:rsidRPr="002B6DF1" w:rsidRDefault="00E7243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ADE">
        <w:rPr>
          <w:lang w:eastAsia="ru-RU"/>
        </w:rPr>
        <w:t xml:space="preserve">   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бюджета в соответствии с п</w:t>
      </w:r>
      <w:r w:rsidR="005A7079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оставленным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DF7C63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7C63">
        <w:rPr>
          <w:rFonts w:ascii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42D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:rsidR="00E72434" w:rsidRPr="00611841" w:rsidRDefault="00E72434" w:rsidP="00E72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D901C1" w:rsidP="001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Уточненный 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142DA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(тыс.руб.)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Исп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олнено за </w:t>
            </w:r>
            <w:r w:rsidR="00850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DF7C63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D90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46B4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</w:p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(тыс.руб.)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34BFB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311,1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Кредиты кредитной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кредитных организаций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34BFB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311,1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5A7079" w:rsidP="0073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34BFB">
              <w:rPr>
                <w:rFonts w:ascii="Times New Roman" w:eastAsia="Times New Roman" w:hAnsi="Times New Roman" w:cs="Times New Roman"/>
                <w:lang w:eastAsia="ru-RU"/>
              </w:rPr>
              <w:t>230 263,0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34BFB" w:rsidP="0085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-8 672,1</w:t>
            </w:r>
          </w:p>
        </w:tc>
      </w:tr>
      <w:tr w:rsidR="00E72434" w:rsidRPr="00F82F23" w:rsidTr="00734BFB">
        <w:trPr>
          <w:trHeight w:val="8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34BFB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230 663,0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34BFB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8 983,2</w:t>
            </w:r>
          </w:p>
        </w:tc>
      </w:tr>
    </w:tbl>
    <w:p w:rsidR="00E72434" w:rsidRPr="00F82F23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2434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7B3DF0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="00734BFB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34BFB">
        <w:rPr>
          <w:rFonts w:ascii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7B3DF0" w:rsidRPr="00CE46A0" w:rsidRDefault="007B3DF0" w:rsidP="007B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бюджетную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отчетность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финансов Российской Федерации от 28.12.2010 № 191н «Об утверждении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бюджетов бюджетной системы Российской Федерации».</w:t>
      </w:r>
    </w:p>
    <w:p w:rsidR="007B3DF0" w:rsidRDefault="007B3DF0" w:rsidP="00734BFB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1A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E01AB">
        <w:rPr>
          <w:rFonts w:ascii="Times New Roman" w:hAnsi="Times New Roman" w:cs="Times New Roman"/>
          <w:sz w:val="28"/>
          <w:szCs w:val="28"/>
        </w:rPr>
        <w:t xml:space="preserve"> </w:t>
      </w:r>
      <w:r w:rsidR="00734BFB">
        <w:rPr>
          <w:rFonts w:ascii="Times New Roman" w:hAnsi="Times New Roman" w:cs="Times New Roman"/>
          <w:sz w:val="28"/>
          <w:szCs w:val="28"/>
        </w:rPr>
        <w:t>А</w:t>
      </w:r>
      <w:r w:rsidR="00734BFB" w:rsidRPr="00EE01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4BFB" w:rsidRPr="00EE01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4BFB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734BFB" w:rsidRPr="00EE01AB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734BFB">
        <w:rPr>
          <w:rFonts w:ascii="Times New Roman" w:hAnsi="Times New Roman" w:cs="Times New Roman"/>
          <w:sz w:val="28"/>
          <w:szCs w:val="28"/>
        </w:rPr>
        <w:t xml:space="preserve">принять меры по устранению </w:t>
      </w:r>
      <w:r w:rsidR="00734BFB" w:rsidRPr="00141370">
        <w:rPr>
          <w:rFonts w:ascii="Times New Roman" w:hAnsi="Times New Roman" w:cs="Times New Roman"/>
          <w:color w:val="1A1A1A"/>
          <w:sz w:val="28"/>
          <w:szCs w:val="28"/>
        </w:rPr>
        <w:t xml:space="preserve">требований </w:t>
      </w:r>
      <w:r w:rsidR="00F523CC" w:rsidRPr="00F523CC">
        <w:rPr>
          <w:rFonts w:ascii="Times New Roman" w:hAnsi="Times New Roman" w:cs="Times New Roman"/>
          <w:sz w:val="28"/>
          <w:szCs w:val="28"/>
        </w:rPr>
        <w:t>пункта 1 статьи 264.1 БК РФ и</w:t>
      </w:r>
      <w:r w:rsidR="00F523CC" w:rsidRPr="00141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34BFB" w:rsidRPr="00141370">
        <w:rPr>
          <w:rFonts w:ascii="Times New Roman" w:hAnsi="Times New Roman" w:cs="Times New Roman"/>
          <w:color w:val="1A1A1A"/>
          <w:sz w:val="28"/>
          <w:szCs w:val="28"/>
        </w:rPr>
        <w:t>пункта</w:t>
      </w:r>
      <w:r w:rsidR="00F523C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34BFB" w:rsidRPr="00141370">
        <w:rPr>
          <w:rFonts w:ascii="Times New Roman" w:hAnsi="Times New Roman" w:cs="Times New Roman"/>
          <w:color w:val="1A1A1A"/>
          <w:sz w:val="28"/>
          <w:szCs w:val="28"/>
        </w:rPr>
        <w:t>134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7B3DF0" w:rsidRDefault="007B3DF0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434" w:rsidRPr="0016554F" w:rsidRDefault="000F0E12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6154B7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E72434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bookmarkStart w:id="2" w:name="_GoBack"/>
      <w:bookmarkEnd w:id="2"/>
    </w:p>
    <w:p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</w:t>
      </w:r>
      <w:r w:rsidR="000F0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:rsidR="00F251A1" w:rsidRPr="0016554F" w:rsidRDefault="00F251A1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434" w:rsidRPr="0016554F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E72434" w:rsidRPr="00165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D7" w:rsidRDefault="006E04D7" w:rsidP="00C047EA">
      <w:pPr>
        <w:spacing w:after="0" w:line="240" w:lineRule="auto"/>
      </w:pPr>
      <w:r>
        <w:separator/>
      </w:r>
    </w:p>
  </w:endnote>
  <w:endnote w:type="continuationSeparator" w:id="0">
    <w:p w:rsidR="006E04D7" w:rsidRDefault="006E04D7" w:rsidP="00C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0" w:rsidRDefault="002C66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759515"/>
      <w:docPartObj>
        <w:docPartGallery w:val="Page Numbers (Bottom of Page)"/>
        <w:docPartUnique/>
      </w:docPartObj>
    </w:sdtPr>
    <w:sdtContent>
      <w:p w:rsidR="002C6670" w:rsidRDefault="002C66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58">
          <w:rPr>
            <w:noProof/>
          </w:rPr>
          <w:t>11</w:t>
        </w:r>
        <w:r>
          <w:fldChar w:fldCharType="end"/>
        </w:r>
      </w:p>
    </w:sdtContent>
  </w:sdt>
  <w:p w:rsidR="002C6670" w:rsidRDefault="002C66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0" w:rsidRDefault="002C66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D7" w:rsidRDefault="006E04D7" w:rsidP="00C047EA">
      <w:pPr>
        <w:spacing w:after="0" w:line="240" w:lineRule="auto"/>
      </w:pPr>
      <w:r>
        <w:separator/>
      </w:r>
    </w:p>
  </w:footnote>
  <w:footnote w:type="continuationSeparator" w:id="0">
    <w:p w:rsidR="006E04D7" w:rsidRDefault="006E04D7" w:rsidP="00C0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0" w:rsidRDefault="002C66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0" w:rsidRDefault="002C66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0" w:rsidRDefault="002C66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E8D"/>
    <w:multiLevelType w:val="hybridMultilevel"/>
    <w:tmpl w:val="183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601"/>
    <w:multiLevelType w:val="hybridMultilevel"/>
    <w:tmpl w:val="4DA28D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47FB4"/>
    <w:multiLevelType w:val="hybridMultilevel"/>
    <w:tmpl w:val="5DE81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90672"/>
    <w:multiLevelType w:val="hybridMultilevel"/>
    <w:tmpl w:val="3C8E968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4"/>
    <w:rsid w:val="0000065D"/>
    <w:rsid w:val="00021246"/>
    <w:rsid w:val="00033471"/>
    <w:rsid w:val="00034126"/>
    <w:rsid w:val="00041CCF"/>
    <w:rsid w:val="0004291F"/>
    <w:rsid w:val="00056FA4"/>
    <w:rsid w:val="0007115C"/>
    <w:rsid w:val="00081B23"/>
    <w:rsid w:val="00082A7F"/>
    <w:rsid w:val="000D3A4F"/>
    <w:rsid w:val="000E5FEA"/>
    <w:rsid w:val="000E6298"/>
    <w:rsid w:val="000F0E12"/>
    <w:rsid w:val="000F1474"/>
    <w:rsid w:val="000F5C3E"/>
    <w:rsid w:val="000F71B4"/>
    <w:rsid w:val="00103992"/>
    <w:rsid w:val="00110E89"/>
    <w:rsid w:val="001205A2"/>
    <w:rsid w:val="001347E2"/>
    <w:rsid w:val="00142DA3"/>
    <w:rsid w:val="00150D95"/>
    <w:rsid w:val="00151B15"/>
    <w:rsid w:val="00152B84"/>
    <w:rsid w:val="00162A78"/>
    <w:rsid w:val="001639F5"/>
    <w:rsid w:val="0016554F"/>
    <w:rsid w:val="00172C7A"/>
    <w:rsid w:val="00186F0C"/>
    <w:rsid w:val="001A1DE6"/>
    <w:rsid w:val="001A2E93"/>
    <w:rsid w:val="001A575F"/>
    <w:rsid w:val="001A7485"/>
    <w:rsid w:val="001B3C57"/>
    <w:rsid w:val="001B5D11"/>
    <w:rsid w:val="001C33AA"/>
    <w:rsid w:val="001C44A6"/>
    <w:rsid w:val="001C47C3"/>
    <w:rsid w:val="001C4A3C"/>
    <w:rsid w:val="001D2422"/>
    <w:rsid w:val="001D49FD"/>
    <w:rsid w:val="001E052D"/>
    <w:rsid w:val="001E6E5F"/>
    <w:rsid w:val="001E762E"/>
    <w:rsid w:val="001F2A04"/>
    <w:rsid w:val="0020037B"/>
    <w:rsid w:val="00217EFE"/>
    <w:rsid w:val="00227CED"/>
    <w:rsid w:val="00237CBB"/>
    <w:rsid w:val="00244A5D"/>
    <w:rsid w:val="00250CD3"/>
    <w:rsid w:val="00257A0B"/>
    <w:rsid w:val="00260B10"/>
    <w:rsid w:val="00270A77"/>
    <w:rsid w:val="002762B8"/>
    <w:rsid w:val="0027765F"/>
    <w:rsid w:val="00285760"/>
    <w:rsid w:val="00291DFC"/>
    <w:rsid w:val="00294370"/>
    <w:rsid w:val="00296347"/>
    <w:rsid w:val="0029722B"/>
    <w:rsid w:val="002B6DF1"/>
    <w:rsid w:val="002C5C4D"/>
    <w:rsid w:val="002C6670"/>
    <w:rsid w:val="00305169"/>
    <w:rsid w:val="00311874"/>
    <w:rsid w:val="00311F30"/>
    <w:rsid w:val="00317905"/>
    <w:rsid w:val="0034074E"/>
    <w:rsid w:val="00341A7E"/>
    <w:rsid w:val="00344288"/>
    <w:rsid w:val="00363805"/>
    <w:rsid w:val="003650E8"/>
    <w:rsid w:val="003713AF"/>
    <w:rsid w:val="00372BD3"/>
    <w:rsid w:val="00375967"/>
    <w:rsid w:val="0037739E"/>
    <w:rsid w:val="0038731D"/>
    <w:rsid w:val="00391ECD"/>
    <w:rsid w:val="003925EA"/>
    <w:rsid w:val="003A4620"/>
    <w:rsid w:val="003B154F"/>
    <w:rsid w:val="003B1D0A"/>
    <w:rsid w:val="003C555A"/>
    <w:rsid w:val="003D039A"/>
    <w:rsid w:val="003D2C16"/>
    <w:rsid w:val="003D399E"/>
    <w:rsid w:val="003D63F7"/>
    <w:rsid w:val="003D7085"/>
    <w:rsid w:val="003E1ACE"/>
    <w:rsid w:val="003E6532"/>
    <w:rsid w:val="003F0109"/>
    <w:rsid w:val="004006A8"/>
    <w:rsid w:val="00416E37"/>
    <w:rsid w:val="00417C16"/>
    <w:rsid w:val="00420ED2"/>
    <w:rsid w:val="00424E7A"/>
    <w:rsid w:val="00430A50"/>
    <w:rsid w:val="004572A3"/>
    <w:rsid w:val="0046565E"/>
    <w:rsid w:val="00467689"/>
    <w:rsid w:val="004801A2"/>
    <w:rsid w:val="0048262F"/>
    <w:rsid w:val="004A4200"/>
    <w:rsid w:val="004A63A3"/>
    <w:rsid w:val="004C0436"/>
    <w:rsid w:val="004C36AB"/>
    <w:rsid w:val="004D0ADE"/>
    <w:rsid w:val="004F2CD2"/>
    <w:rsid w:val="004F7B2A"/>
    <w:rsid w:val="00514F24"/>
    <w:rsid w:val="00520971"/>
    <w:rsid w:val="00536897"/>
    <w:rsid w:val="00543096"/>
    <w:rsid w:val="00545DF6"/>
    <w:rsid w:val="0055160B"/>
    <w:rsid w:val="005605B7"/>
    <w:rsid w:val="00571403"/>
    <w:rsid w:val="0057330F"/>
    <w:rsid w:val="00591553"/>
    <w:rsid w:val="005A1B77"/>
    <w:rsid w:val="005A1F83"/>
    <w:rsid w:val="005A7079"/>
    <w:rsid w:val="005C11EE"/>
    <w:rsid w:val="005C206E"/>
    <w:rsid w:val="005D0315"/>
    <w:rsid w:val="005D7D93"/>
    <w:rsid w:val="005E2C08"/>
    <w:rsid w:val="005F6C91"/>
    <w:rsid w:val="0060338D"/>
    <w:rsid w:val="00603985"/>
    <w:rsid w:val="00604F2F"/>
    <w:rsid w:val="00611841"/>
    <w:rsid w:val="006154B7"/>
    <w:rsid w:val="00631FDF"/>
    <w:rsid w:val="0063531D"/>
    <w:rsid w:val="006416B4"/>
    <w:rsid w:val="00676D94"/>
    <w:rsid w:val="006816EB"/>
    <w:rsid w:val="006931A7"/>
    <w:rsid w:val="006A5DEE"/>
    <w:rsid w:val="006B694F"/>
    <w:rsid w:val="006C244D"/>
    <w:rsid w:val="006C2B56"/>
    <w:rsid w:val="006C326F"/>
    <w:rsid w:val="006C7A0C"/>
    <w:rsid w:val="006D4C8B"/>
    <w:rsid w:val="006E01B6"/>
    <w:rsid w:val="006E04D7"/>
    <w:rsid w:val="00711534"/>
    <w:rsid w:val="00712ED6"/>
    <w:rsid w:val="00725B0D"/>
    <w:rsid w:val="00734BFB"/>
    <w:rsid w:val="00745310"/>
    <w:rsid w:val="007510EB"/>
    <w:rsid w:val="007601BF"/>
    <w:rsid w:val="00763D69"/>
    <w:rsid w:val="00790C4D"/>
    <w:rsid w:val="0079559B"/>
    <w:rsid w:val="007A431C"/>
    <w:rsid w:val="007A6E45"/>
    <w:rsid w:val="007B12A6"/>
    <w:rsid w:val="007B1F87"/>
    <w:rsid w:val="007B2100"/>
    <w:rsid w:val="007B3860"/>
    <w:rsid w:val="007B3DF0"/>
    <w:rsid w:val="007B4CAD"/>
    <w:rsid w:val="007B514D"/>
    <w:rsid w:val="007C5AAE"/>
    <w:rsid w:val="007D0E82"/>
    <w:rsid w:val="007D25BF"/>
    <w:rsid w:val="007D56D8"/>
    <w:rsid w:val="007E0A37"/>
    <w:rsid w:val="007E1134"/>
    <w:rsid w:val="007E2F55"/>
    <w:rsid w:val="007F3CE9"/>
    <w:rsid w:val="007F68B6"/>
    <w:rsid w:val="0080289A"/>
    <w:rsid w:val="00806B8A"/>
    <w:rsid w:val="008268E0"/>
    <w:rsid w:val="00834AA2"/>
    <w:rsid w:val="008501CA"/>
    <w:rsid w:val="00853055"/>
    <w:rsid w:val="00857868"/>
    <w:rsid w:val="008600B8"/>
    <w:rsid w:val="0086044C"/>
    <w:rsid w:val="008727A9"/>
    <w:rsid w:val="00877CC1"/>
    <w:rsid w:val="00884349"/>
    <w:rsid w:val="00884ABD"/>
    <w:rsid w:val="0088759D"/>
    <w:rsid w:val="00897D9B"/>
    <w:rsid w:val="008A58A0"/>
    <w:rsid w:val="008B096C"/>
    <w:rsid w:val="008B1E6A"/>
    <w:rsid w:val="008B310B"/>
    <w:rsid w:val="008B4C85"/>
    <w:rsid w:val="008B7442"/>
    <w:rsid w:val="008C0749"/>
    <w:rsid w:val="008D141D"/>
    <w:rsid w:val="008D6D8C"/>
    <w:rsid w:val="008E515B"/>
    <w:rsid w:val="008E60CB"/>
    <w:rsid w:val="009166D3"/>
    <w:rsid w:val="0091670C"/>
    <w:rsid w:val="00931442"/>
    <w:rsid w:val="0094214F"/>
    <w:rsid w:val="0094599E"/>
    <w:rsid w:val="0095148A"/>
    <w:rsid w:val="00953157"/>
    <w:rsid w:val="00957BD1"/>
    <w:rsid w:val="00960137"/>
    <w:rsid w:val="00962111"/>
    <w:rsid w:val="009779D7"/>
    <w:rsid w:val="009810E5"/>
    <w:rsid w:val="009816C5"/>
    <w:rsid w:val="00993CE4"/>
    <w:rsid w:val="00994930"/>
    <w:rsid w:val="0099766E"/>
    <w:rsid w:val="009A299C"/>
    <w:rsid w:val="009A63BB"/>
    <w:rsid w:val="009E26B2"/>
    <w:rsid w:val="009E369E"/>
    <w:rsid w:val="009F127B"/>
    <w:rsid w:val="00A10A0C"/>
    <w:rsid w:val="00A10B4A"/>
    <w:rsid w:val="00A20923"/>
    <w:rsid w:val="00A26B3F"/>
    <w:rsid w:val="00A32139"/>
    <w:rsid w:val="00A43320"/>
    <w:rsid w:val="00A53927"/>
    <w:rsid w:val="00A54557"/>
    <w:rsid w:val="00A555F8"/>
    <w:rsid w:val="00A63BA5"/>
    <w:rsid w:val="00A64651"/>
    <w:rsid w:val="00A673D8"/>
    <w:rsid w:val="00A75141"/>
    <w:rsid w:val="00A7692C"/>
    <w:rsid w:val="00A824A9"/>
    <w:rsid w:val="00A85894"/>
    <w:rsid w:val="00A930C6"/>
    <w:rsid w:val="00A93BB4"/>
    <w:rsid w:val="00AA34CC"/>
    <w:rsid w:val="00AA637F"/>
    <w:rsid w:val="00AA7F37"/>
    <w:rsid w:val="00AB74F5"/>
    <w:rsid w:val="00AC54BC"/>
    <w:rsid w:val="00AD426D"/>
    <w:rsid w:val="00AD6FD1"/>
    <w:rsid w:val="00AF50D3"/>
    <w:rsid w:val="00B04CDF"/>
    <w:rsid w:val="00B102DE"/>
    <w:rsid w:val="00B13BF4"/>
    <w:rsid w:val="00B13D72"/>
    <w:rsid w:val="00B27E00"/>
    <w:rsid w:val="00B32858"/>
    <w:rsid w:val="00B4619A"/>
    <w:rsid w:val="00B46B4A"/>
    <w:rsid w:val="00B4775D"/>
    <w:rsid w:val="00B52035"/>
    <w:rsid w:val="00B527E5"/>
    <w:rsid w:val="00B564BF"/>
    <w:rsid w:val="00B56F4C"/>
    <w:rsid w:val="00B574D0"/>
    <w:rsid w:val="00B75EC2"/>
    <w:rsid w:val="00B811E9"/>
    <w:rsid w:val="00B946EE"/>
    <w:rsid w:val="00B956C5"/>
    <w:rsid w:val="00B97CED"/>
    <w:rsid w:val="00BA1416"/>
    <w:rsid w:val="00BB0F2D"/>
    <w:rsid w:val="00BD5402"/>
    <w:rsid w:val="00BE0FED"/>
    <w:rsid w:val="00BE321C"/>
    <w:rsid w:val="00BE502E"/>
    <w:rsid w:val="00BE6CB2"/>
    <w:rsid w:val="00C00A4D"/>
    <w:rsid w:val="00C047EA"/>
    <w:rsid w:val="00C04D89"/>
    <w:rsid w:val="00C05349"/>
    <w:rsid w:val="00C07D6D"/>
    <w:rsid w:val="00C16E78"/>
    <w:rsid w:val="00C21B59"/>
    <w:rsid w:val="00C248D3"/>
    <w:rsid w:val="00C319A0"/>
    <w:rsid w:val="00C337D5"/>
    <w:rsid w:val="00C43B57"/>
    <w:rsid w:val="00C624B1"/>
    <w:rsid w:val="00C63B15"/>
    <w:rsid w:val="00C767D5"/>
    <w:rsid w:val="00C7750D"/>
    <w:rsid w:val="00C80BAE"/>
    <w:rsid w:val="00C80F95"/>
    <w:rsid w:val="00C846AB"/>
    <w:rsid w:val="00CD31B9"/>
    <w:rsid w:val="00CE4BAA"/>
    <w:rsid w:val="00CF36ED"/>
    <w:rsid w:val="00CF4B36"/>
    <w:rsid w:val="00D12E95"/>
    <w:rsid w:val="00D156EA"/>
    <w:rsid w:val="00D53107"/>
    <w:rsid w:val="00D53C9A"/>
    <w:rsid w:val="00D748B6"/>
    <w:rsid w:val="00D773A5"/>
    <w:rsid w:val="00D87E4D"/>
    <w:rsid w:val="00D901C1"/>
    <w:rsid w:val="00DA2C8D"/>
    <w:rsid w:val="00DB129C"/>
    <w:rsid w:val="00DB278A"/>
    <w:rsid w:val="00DB5E60"/>
    <w:rsid w:val="00DB61CA"/>
    <w:rsid w:val="00DC50FC"/>
    <w:rsid w:val="00DC5A54"/>
    <w:rsid w:val="00DD4299"/>
    <w:rsid w:val="00DF300A"/>
    <w:rsid w:val="00DF3FF1"/>
    <w:rsid w:val="00DF41FD"/>
    <w:rsid w:val="00DF51EE"/>
    <w:rsid w:val="00DF7C63"/>
    <w:rsid w:val="00E0106A"/>
    <w:rsid w:val="00E06707"/>
    <w:rsid w:val="00E21545"/>
    <w:rsid w:val="00E45F75"/>
    <w:rsid w:val="00E521A6"/>
    <w:rsid w:val="00E621F7"/>
    <w:rsid w:val="00E71F52"/>
    <w:rsid w:val="00E72434"/>
    <w:rsid w:val="00E7531A"/>
    <w:rsid w:val="00E8587E"/>
    <w:rsid w:val="00EB146F"/>
    <w:rsid w:val="00EC5B9D"/>
    <w:rsid w:val="00EE2D95"/>
    <w:rsid w:val="00EE34AC"/>
    <w:rsid w:val="00EE64AB"/>
    <w:rsid w:val="00EF30EF"/>
    <w:rsid w:val="00EF4799"/>
    <w:rsid w:val="00F01C6B"/>
    <w:rsid w:val="00F251A1"/>
    <w:rsid w:val="00F331A4"/>
    <w:rsid w:val="00F523CC"/>
    <w:rsid w:val="00F82DAF"/>
    <w:rsid w:val="00F82F23"/>
    <w:rsid w:val="00F844E6"/>
    <w:rsid w:val="00FB0BCE"/>
    <w:rsid w:val="00FB0FEF"/>
    <w:rsid w:val="00FB17BA"/>
    <w:rsid w:val="00FC7098"/>
    <w:rsid w:val="00FD55AE"/>
    <w:rsid w:val="00FE04E0"/>
    <w:rsid w:val="00FE0F8A"/>
    <w:rsid w:val="00FF55A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6A3C"/>
  <w15:chartTrackingRefBased/>
  <w15:docId w15:val="{13C3C4C1-2AE0-41F6-A35B-2590DBC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7EA"/>
  </w:style>
  <w:style w:type="paragraph" w:styleId="a5">
    <w:name w:val="footer"/>
    <w:basedOn w:val="a"/>
    <w:link w:val="a6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7EA"/>
  </w:style>
  <w:style w:type="paragraph" w:styleId="a7">
    <w:name w:val="Balloon Text"/>
    <w:basedOn w:val="a"/>
    <w:link w:val="a8"/>
    <w:uiPriority w:val="99"/>
    <w:semiHidden/>
    <w:unhideWhenUsed/>
    <w:rsid w:val="00A4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5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locked/>
    <w:rsid w:val="00237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37CBB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237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A7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F37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1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230</cp:revision>
  <cp:lastPrinted>2023-07-25T08:33:00Z</cp:lastPrinted>
  <dcterms:created xsi:type="dcterms:W3CDTF">2020-08-21T10:52:00Z</dcterms:created>
  <dcterms:modified xsi:type="dcterms:W3CDTF">2023-07-25T08:34:00Z</dcterms:modified>
</cp:coreProperties>
</file>